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bc7ed60bd4fe8" /></Relationships>
</file>

<file path=word/document.xml><?xml version="1.0" encoding="utf-8"?>
<w:document xmlns:w="http://schemas.openxmlformats.org/wordprocessingml/2006/main">
  <w:body>
    <w:p>
      <w:r>
        <w:t>H-0740.2</w:t>
      </w:r>
    </w:p>
    <w:p>
      <w:pPr>
        <w:jc w:val="center"/>
      </w:pPr>
      <w:r>
        <w:t>_______________________________________________</w:t>
      </w:r>
    </w:p>
    <w:p/>
    <w:p>
      <w:pPr>
        <w:jc w:val="center"/>
      </w:pPr>
      <w:r>
        <w:rPr>
          <w:b/>
        </w:rPr>
        <w:t>HOUSE BILL 1504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Johnson, Harris, Caldier, Robinson, Tharinger, Riccelli, Goodman, Cody, Walsh, Sawyer, Tarleton, Pollet, Senn, Kilduff, Moeller, Fitzgibbon, and McBride</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hospital charity care determinations by requiring the development of a standardized application form, specifying when patients must be notified regarding the availability of charity care, and clarifying that a person may apply for charity care at any time; and amending RCW 70.170.060.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r>
        <w:rPr>
          <w:u w:val="single"/>
        </w:rPr>
        <w:t xml:space="preserve">, including a standardized charity care application form. The application form may not include questions regarding bankruptcy proceedings or primary homeownership</w:t>
      </w:r>
      <w:r>
        <w:rPr/>
        <w:t xml:space="preserv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 </w:t>
      </w:r>
      <w:r>
        <w:rPr>
          <w:u w:val="single"/>
        </w:rPr>
        <w:t xml:space="preserve">at the time of the first visit or admission, discharge, and the first billing</w:t>
      </w:r>
      <w:r>
        <w:rPr/>
        <w:t xml:space="preserve">. </w:t>
      </w:r>
      <w:r>
        <w:rPr>
          <w:u w:val="single"/>
        </w:rPr>
        <w:t xml:space="preserve">A person may apply for charity care at any time, and a hospital may not deny a charity care application based on the person's failure to apply or provide supporting documentation within a specific time frame.</w:t>
      </w:r>
    </w:p>
    <w:p>
      <w:pPr>
        <w:spacing w:before="0" w:after="0" w:line="408" w:lineRule="exact"/>
        <w:ind w:left="0" w:right="0" w:firstLine="576"/>
        <w:jc w:val="left"/>
      </w:pPr>
      <w:r>
        <w:rPr/>
        <w:t xml:space="preserve">(6)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w:t>
      </w:r>
      <w:r>
        <w:rPr>
          <w:u w:val="single"/>
        </w:rPr>
        <w:t xml:space="preserve">To determine eligibility for charity care, each hospital shall use the standardized application form developed by the department under subsection (4) of this section.</w:t>
      </w:r>
      <w:r>
        <w:rPr/>
        <w:t xml:space="preserve"> An initial determination of sponsorship status shall precede collection efforts directed at the patient.</w:t>
      </w:r>
    </w:p>
    <w:p>
      <w:pPr>
        <w:spacing w:before="0" w:after="0" w:line="408" w:lineRule="exact"/>
        <w:ind w:left="0" w:right="0" w:firstLine="576"/>
        <w:jc w:val="left"/>
      </w:pPr>
      <w:r>
        <w:rPr/>
        <w:t xml:space="preserve">(7)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(8) The department shall issue a report on the subjects addressed in this section at least annually, with the first report due on July 1, 1990.</w:t>
      </w:r>
    </w:p>
    <w:p/>
    <w:p>
      <w:pPr>
        <w:jc w:val="center"/>
      </w:pPr>
      <w:r>
        <w:rPr>
          <w:b/>
        </w:rPr>
        <w:t>--- END ---</w:t>
      </w:r>
    </w:p>
    <w:sectPr>
      <w:pgNumType w:start="1"/>
      <w:footerReference xmlns:r="http://schemas.openxmlformats.org/officeDocument/2006/relationships" r:id="R556d16721673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03973986b41bd" /><Relationship Type="http://schemas.openxmlformats.org/officeDocument/2006/relationships/footer" Target="/word/footer.xml" Id="R556d167216734570" /></Relationships>
</file>