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cb88d72ba44af" /></Relationships>
</file>

<file path=word/document.xml><?xml version="1.0" encoding="utf-8"?>
<w:document xmlns:w="http://schemas.openxmlformats.org/wordprocessingml/2006/main">
  <w:body>
    <w:p>
      <w:r>
        <w:t>H-0917.1</w:t>
      </w:r>
    </w:p>
    <w:p>
      <w:pPr>
        <w:jc w:val="center"/>
      </w:pPr>
      <w:r>
        <w:t>_______________________________________________</w:t>
      </w:r>
    </w:p>
    <w:p/>
    <w:p>
      <w:pPr>
        <w:jc w:val="center"/>
      </w:pPr>
      <w:r>
        <w:rPr>
          <w:b/>
        </w:rPr>
        <w:t>HOUSE BILL 1541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Santos, Ortiz-Self, Tharinger, Moscoso, Orwall, and Gregerson</w:t>
      </w:r>
    </w:p>
    <w:p/>
    <w:p>
      <w:r>
        <w:rPr>
          <w:t xml:space="preserve">Read first time 01/22/15.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28A.600.015, 28A.600.020, 28A.600.460, 43.41.400, 28A.405.106, 28A.405.120, 28A.660.045, 28A.660.050, 28A.180.040, 28A.180.090, 28A.300.042, and 28A.300.505; adding a new section to chapter 28A.600 RCW; adding a new section to chapter 28A.415 RCW; adding new sections to chapter 28A.657 RCW; adding a new section to chapter 28A.410 RCW; adding a new section to chapter 28B.50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2013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Decrease the disproportionate representation of students of color in disciplinary actions in schools;</w:t>
      </w:r>
    </w:p>
    <w:p>
      <w:pPr>
        <w:spacing w:before="0" w:after="0" w:line="408" w:lineRule="exact"/>
        <w:ind w:left="0" w:right="0" w:firstLine="576"/>
        <w:jc w:val="left"/>
      </w:pPr>
      <w:r>
        <w:rPr/>
        <w:t xml:space="preserve">(b) Enhance the cultural competence of current and future educators;</w:t>
      </w:r>
    </w:p>
    <w:p>
      <w:pPr>
        <w:spacing w:before="0" w:after="0" w:line="408" w:lineRule="exact"/>
        <w:ind w:left="0" w:right="0" w:firstLine="576"/>
        <w:jc w:val="left"/>
      </w:pPr>
      <w:r>
        <w:rPr/>
        <w:t xml:space="preserve">(c) Provide English language learner and second language acquisition endorsements for all educators;</w:t>
      </w:r>
    </w:p>
    <w:p>
      <w:pPr>
        <w:spacing w:before="0" w:after="0" w:line="408" w:lineRule="exact"/>
        <w:ind w:left="0" w:right="0" w:firstLine="576"/>
        <w:jc w:val="left"/>
      </w:pPr>
      <w:r>
        <w:rPr/>
        <w:t xml:space="preserve">(d) Create new English language learner accountability benchmarks;</w:t>
      </w:r>
    </w:p>
    <w:p>
      <w:pPr>
        <w:spacing w:before="0" w:after="0" w:line="408" w:lineRule="exact"/>
        <w:ind w:left="0" w:right="0" w:firstLine="576"/>
        <w:jc w:val="left"/>
      </w:pPr>
      <w:r>
        <w:rPr/>
        <w:t xml:space="preserve">(e) Provide tools for deeper data analysis and disaggregation of student demographic data to inform instructional strategies to close the opportunity gap; and</w:t>
      </w:r>
    </w:p>
    <w:p>
      <w:pPr>
        <w:spacing w:before="0" w:after="0" w:line="408" w:lineRule="exact"/>
        <w:ind w:left="0" w:right="0" w:firstLine="576"/>
        <w:jc w:val="left"/>
      </w:pPr>
      <w:r>
        <w:rPr/>
        <w:t xml:space="preserve">(f) Invest in the recruitment and retention of educators of color.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ombudsman, school districts,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For any circumstance where disciplinary action is discretionary on the part of the school district, a school district may not impose a suspension that results in the exclusion of a student from school. A student may be excluded from a particular classroom or instructional or activity area for the period of suspension, but the school district must provide an opportunity for the student to receive educational services in an alternative manner, which may include services provided through an alternative program, at an alternative school, or at an alternative location within the student's regular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28A.320.135, 28A.600.455, 28A.600.460, 28A.635.020, 28A.600.020, 28A.635.060, 9.41.280, or 28A.320.140;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one calendar year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one calendar year limitation provided in this subsection. The superintendent of public instruction shall adopt rules outlining the limited circumstances in which a school may petition to exceed the one calendar year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w:t>
      </w:r>
      <w:r>
        <w:rPr>
          <w:u w:val="single"/>
        </w:rPr>
        <w:t xml:space="preserve">As provided in RCW 28A.600.015, for any circumstance where disciplinary action is discretionary on the part of the school district, a school district may not impose a suspension that results in the exclusion of a student from school.</w:t>
      </w:r>
    </w:p>
    <w:p>
      <w:pPr>
        <w:spacing w:before="0" w:after="0" w:line="408" w:lineRule="exact"/>
        <w:ind w:left="0" w:right="0" w:firstLine="576"/>
        <w:jc w:val="left"/>
      </w:pPr>
      <w:r>
        <w:rPr>
          <w:u w:val="single"/>
        </w:rPr>
        <w:t xml:space="preserve">(8)</w:t>
      </w:r>
      <w:r>
        <w:rPr/>
        <w:t xml:space="preserve">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460</w:t>
      </w:r>
      <w:r>
        <w:rPr/>
        <w:t xml:space="preserve"> and 2013 2nd sp.s. c 18 s 305 are each amended to read as follows:</w:t>
      </w:r>
    </w:p>
    <w:p>
      <w:pPr>
        <w:spacing w:before="0" w:after="0" w:line="408" w:lineRule="exact"/>
        <w:ind w:left="0" w:right="0" w:firstLine="576"/>
        <w:jc w:val="left"/>
      </w:pPr>
      <w:r>
        <w:rPr/>
        <w:t xml:space="preserve">(1) School district boards of directors shall adopt policies that restore discipline to the classroom. Such policies must provide for at least the following: Allowing each teacher to take disciplinary action to correct a student who disrupts normal classroom activities, abuses or insults a teacher as prohibited by RCW 28A.635.010, willfully disobeys a teacher, uses abusive or foul language directed at a school district employee, school volunteer, or another student, violates school rules, or who interferes with an orderly education process. Disciplinary action may include but is not limited to: Oral or written reprimands; written notification to parents of disruptive behavior, a copy of which must be provided to the principal.</w:t>
      </w:r>
    </w:p>
    <w:p>
      <w:pPr>
        <w:spacing w:before="0" w:after="0" w:line="408" w:lineRule="exact"/>
        <w:ind w:left="0" w:right="0" w:firstLine="576"/>
        <w:jc w:val="left"/>
      </w:pPr>
      <w:r>
        <w:rPr/>
        <w:t xml:space="preserve">(2) A student committing an offense under chapter 9A.36, 9A.40, 9A.46, or 9A.48 RCW when the activity is directed toward the teacher, shall not be assigned to that teacher's classroom for the duration of the student's attendance at that school or any other school where the teacher is assigned.</w:t>
      </w:r>
    </w:p>
    <w:p>
      <w:pPr>
        <w:spacing w:before="0" w:after="0" w:line="408" w:lineRule="exact"/>
        <w:ind w:left="0" w:right="0" w:firstLine="576"/>
        <w:jc w:val="left"/>
      </w:pPr>
      <w:r>
        <w:rPr/>
        <w:t xml:space="preserve">(3) A student who commits an offense under chapter 9A.36, 9A.40, 9A.46, or 9A.48 RCW, when directed toward another student, may be removed from the classroom of the victim for the duration of the student's attendance at that school or any other school where the victim is enrolled. A student who commits an offense under one of the chapters enumerated in this section against a student or another school employee, may be expelled or suspended.</w:t>
      </w:r>
    </w:p>
    <w:p>
      <w:pPr>
        <w:spacing w:before="0" w:after="0" w:line="408" w:lineRule="exact"/>
        <w:ind w:left="0" w:right="0" w:firstLine="576"/>
        <w:jc w:val="left"/>
      </w:pPr>
      <w:r>
        <w:rPr/>
        <w:t xml:space="preserve">(4) Nothing in this section is intended to limit the authority of a school under existing law and rules to expel or suspend a student for misconduct or criminal behavior. </w:t>
      </w:r>
      <w:r>
        <w:rPr>
          <w:u w:val="single"/>
        </w:rPr>
        <w:t xml:space="preserve">However, as provided in RCW 28A.600.015, for any circumstance where disciplinary action is discretionary on the part of the school district, a school district may not impose a suspension that results in the exclusion of a student from school.</w:t>
      </w:r>
    </w:p>
    <w:p>
      <w:pPr>
        <w:spacing w:before="0" w:after="0" w:line="408" w:lineRule="exact"/>
        <w:ind w:left="0" w:right="0" w:firstLine="576"/>
        <w:jc w:val="left"/>
      </w:pPr>
      <w:r>
        <w:rPr/>
        <w:t xml:space="preserve">(5) All school districts must collect data on disciplinary actions taken in each school and must record these actions using the statewide student data system, based on the data collection standards established by the office of the superintendent of public instruction and the K-12 data governance group. The information shall be made available to the public </w:t>
      </w:r>
      <w:r>
        <w:rPr>
          <w:u w:val="single"/>
        </w:rPr>
        <w:t xml:space="preserve">upon request</w:t>
      </w:r>
      <w:r>
        <w:rPr/>
        <w:t xml:space="preserve">, but public release of the data shall not include personally identifiable information including, but not limited to, a student's social security number, name, or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ethnic categories, racial subgroups, and age;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Schools that are required under state or federal accountability measures to implement a plan for improvement must provide the cultural competence professional development and training developed under section 203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rPr>
          <w:strike/>
        </w:rPr>
        <w:t xml:space="preserve">to teach mathematics and science</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rPr>
          <w:strike/>
        </w:rPr>
        <w:t xml:space="preserve">or</w:t>
      </w:r>
      <w:r>
        <w:rPr/>
        <w:t xml:space="preserve">))</w:t>
      </w:r>
      <w:r>
        <w:rPr>
          <w:u w:val="single"/>
        </w:rPr>
        <w:t xml:space="preserve">,</w:t>
      </w:r>
      <w:r>
        <w:rPr/>
        <w:t xml:space="preserve"> science</w:t>
      </w:r>
      <w:r>
        <w:rPr>
          <w:u w:val="single"/>
        </w:rPr>
        <w:t xml:space="preserve">, special education, bilingual education, or English language learner</w:t>
      </w:r>
      <w:r>
        <w:rPr/>
        <w:t xml:space="preserve"> endorsement((</w:t>
      </w:r>
      <w:r>
        <w:rPr>
          <w:strike/>
        </w:rPr>
        <w:t xml:space="preserve">, or both,</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 middle level mathematics or science, ((</w:t>
      </w:r>
      <w:r>
        <w:rPr>
          <w:strike/>
        </w:rPr>
        <w:t xml:space="preserve">or</w:t>
      </w:r>
      <w:r>
        <w:rPr/>
        <w:t xml:space="preserve">)) secondary mathematics or science</w:t>
      </w:r>
      <w:r>
        <w:rPr>
          <w:u w:val="single"/>
        </w:rPr>
        <w:t xml:space="preserve">, special education, bilingual education, or English language learner</w:t>
      </w:r>
      <w:r>
        <w:rPr/>
        <w:t xml:space="preserve"> endorsement.</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w:t>
      </w:r>
      <w:r>
        <w:rPr>
          <w:u w:val="single"/>
        </w:rPr>
        <w:t xml:space="preserve">only</w:t>
      </w:r>
      <w:r>
        <w:rPr/>
        <w:t xml:space="preserve"> in middle level mathematics or science ((</w:t>
      </w:r>
      <w:r>
        <w:rPr>
          <w:strike/>
        </w:rPr>
        <w:t xml:space="preserve">only</w:t>
      </w:r>
      <w:r>
        <w:rPr/>
        <w:t xml:space="preserve">))</w:t>
      </w:r>
      <w:r>
        <w:rPr>
          <w:u w:val="single"/>
        </w:rPr>
        <w:t xml:space="preserve">, special education, bilingual education, or English language learner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rPr>
          <w:strike/>
        </w:rPr>
        <w:t xml:space="preserve">to teach mathematics and science</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 middle level mathematics or science, ((</w:t>
      </w:r>
      <w:r>
        <w:rPr>
          <w:strike/>
        </w:rPr>
        <w:t xml:space="preserve">or</w:t>
      </w:r>
      <w:r>
        <w:rPr/>
        <w:t xml:space="preserve">)) secondary mathematics or science</w:t>
      </w:r>
      <w:r>
        <w:rPr>
          <w:u w:val="single"/>
        </w:rPr>
        <w:t xml:space="preserve">, special education, bilingual education, or English language learner</w:t>
      </w:r>
      <w:r>
        <w:rPr/>
        <w:t xml:space="preserve"> endorsement; or</w:t>
      </w:r>
    </w:p>
    <w:p>
      <w:pPr>
        <w:spacing w:before="0" w:after="0" w:line="408" w:lineRule="exact"/>
        <w:ind w:left="0" w:right="0" w:firstLine="576"/>
        <w:jc w:val="left"/>
      </w:pPr>
      <w:r>
        <w:rPr/>
        <w:t xml:space="preserve">(ii) Individuals who are certificated with an elementary education endorsement shall pursue an endorsement in middle level mathematics or science, ((</w:t>
      </w:r>
      <w:r>
        <w:rPr>
          <w:strike/>
        </w:rPr>
        <w:t xml:space="preserve">or both</w:t>
      </w:r>
      <w:r>
        <w:rPr/>
        <w:t xml:space="preserve">)) </w:t>
      </w:r>
      <w:r>
        <w:rPr>
          <w:u w:val="single"/>
        </w:rPr>
        <w:t xml:space="preserve">special education, bilingual education, or English language learner</w:t>
      </w:r>
      <w:r>
        <w:rPr/>
        <w:t xml:space="preserve">; and</w:t>
      </w:r>
    </w:p>
    <w:p>
      <w:pPr>
        <w:spacing w:before="0" w:after="0" w:line="408" w:lineRule="exact"/>
        <w:ind w:left="0" w:right="0" w:firstLine="576"/>
        <w:jc w:val="left"/>
      </w:pPr>
      <w:r>
        <w:rPr/>
        <w:t xml:space="preserve">(iii) Individuals shall use one of the pathways to endorsement processes to receive ((</w:t>
      </w:r>
      <w:r>
        <w:rPr>
          <w:strike/>
        </w:rPr>
        <w:t xml:space="preserve">a mathematics or science</w:t>
      </w:r>
      <w:r>
        <w:rPr/>
        <w:t xml:space="preserve">)) </w:t>
      </w:r>
      <w:r>
        <w:rPr>
          <w:u w:val="single"/>
        </w:rPr>
        <w:t xml:space="preserve">the</w:t>
      </w:r>
      <w:r>
        <w:rPr/>
        <w:t xml:space="preserve"> endorsement, ((</w:t>
      </w:r>
      <w:r>
        <w:rPr>
          <w:strike/>
        </w:rPr>
        <w:t xml:space="preserve">or both,</w:t>
      </w:r>
      <w:r>
        <w:rPr/>
        <w:t xml:space="preserve">)) which shall include passing ((</w:t>
      </w:r>
      <w:r>
        <w:rPr>
          <w:strike/>
        </w:rPr>
        <w:t xml:space="preserve">a mathematics or science</w:t>
      </w:r>
      <w:r>
        <w:rPr/>
        <w:t xml:space="preserve">)) </w:t>
      </w:r>
      <w:r>
        <w:rPr>
          <w:u w:val="single"/>
        </w:rPr>
        <w:t xml:space="preserve">the associated</w:t>
      </w:r>
      <w:r>
        <w:rPr/>
        <w:t xml:space="preserve"> endorsement test((</w:t>
      </w:r>
      <w:r>
        <w:rPr>
          <w:strike/>
        </w:rPr>
        <w:t xml:space="preserve">,</w:t>
      </w:r>
      <w:r>
        <w:rPr/>
        <w:t xml:space="preserve">)) or ((</w:t>
      </w:r>
      <w:r>
        <w:rPr>
          <w:strike/>
        </w:rPr>
        <w:t xml:space="preserve">both</w:t>
      </w:r>
      <w:r>
        <w:rPr/>
        <w:t xml:space="preserve">)) tests,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educator retooling scholarships to support additional bilingual education and English language learner endorsements, the board shall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instructional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The office of the superintendent of public instruction shall convene an English language learner accountability task force to design a performance-based accountability system for the transitional bilingual instructional program. The task force must include representatives from the educational opportunity gap oversight and accountability committee, the state ethnic commissions, the governor's office of tribal affairs, the office of the education ombudsman, the civil rights office within the office of the superintendent of public instruction, parents, community representatives, and program directors and teachers from school districts of different sizes and with different English language learner student populations.</w:t>
      </w:r>
    </w:p>
    <w:p>
      <w:pPr>
        <w:spacing w:before="0" w:after="0" w:line="408" w:lineRule="exact"/>
        <w:ind w:left="0" w:right="0" w:firstLine="576"/>
        <w:jc w:val="left"/>
      </w:pPr>
      <w:r>
        <w:rPr/>
        <w:t xml:space="preserve">(2) The task force must review the research literature to identify evidence-based program designs and instructional strategies for English language learners to achieve English proficiency.</w:t>
      </w:r>
    </w:p>
    <w:p>
      <w:pPr>
        <w:spacing w:before="0" w:after="0" w:line="408" w:lineRule="exact"/>
        <w:ind w:left="0" w:right="0" w:firstLine="576"/>
        <w:jc w:val="left"/>
      </w:pPr>
      <w:r>
        <w:rPr/>
        <w:t xml:space="preserve">(3) The task force must identify performance benchmarks for transitional bilingual instructional programs, including:</w:t>
      </w:r>
    </w:p>
    <w:p>
      <w:pPr>
        <w:spacing w:before="0" w:after="0" w:line="408" w:lineRule="exact"/>
        <w:ind w:left="0" w:right="0" w:firstLine="576"/>
        <w:jc w:val="left"/>
      </w:pPr>
      <w:r>
        <w:rPr/>
        <w:t xml:space="preserve">(a) Benchmarks based on performance of eligible and exited students, including performance in English language and performance in other academic areas, based on state learning standards; and</w:t>
      </w:r>
    </w:p>
    <w:p>
      <w:pPr>
        <w:spacing w:before="0" w:after="0" w:line="408" w:lineRule="exact"/>
        <w:ind w:left="0" w:right="0" w:firstLine="576"/>
        <w:jc w:val="left"/>
      </w:pPr>
      <w:r>
        <w:rPr/>
        <w:t xml:space="preserve">(b) Benchmarks based on program characteristics that research suggests are associated with students achieving English proficiency, such as staff qualifications and training and the level of supplemental instruction for students.</w:t>
      </w:r>
    </w:p>
    <w:p>
      <w:pPr>
        <w:spacing w:before="0" w:after="0" w:line="408" w:lineRule="exact"/>
        <w:ind w:left="0" w:right="0" w:firstLine="576"/>
        <w:jc w:val="left"/>
      </w:pPr>
      <w:r>
        <w:rPr/>
        <w:t xml:space="preserve">(4) The task force must design an accountability system for the program that includes reporting and monitoring of benchmark performance and tiered levels of support and technical assistance for schools and districts based on benchmark performance. The design of the system must also include a reduction in requirements for schools and districts to submit program applications and program plans for state approval, to be replaced with a focus on program outcomes.</w:t>
      </w:r>
    </w:p>
    <w:p>
      <w:pPr>
        <w:spacing w:before="0" w:after="0" w:line="408" w:lineRule="exact"/>
        <w:ind w:left="0" w:right="0" w:firstLine="576"/>
        <w:jc w:val="left"/>
      </w:pPr>
      <w:r>
        <w:rPr/>
        <w:t xml:space="preserve">(5) The task force must submit a report first to the educational opportunity gap oversight and accountability committee and the quality education council, and then to the education committees of the legislature, with recommendations for the design of the accountability system and any policy changes, statutory changes, or resources necessary for its implementation. An interim report is due to the legislative education committees by January 15, 2016, and a final report is due by September 30, 2017.</w:t>
      </w:r>
    </w:p>
    <w:p>
      <w:pPr>
        <w:spacing w:before="0" w:after="0" w:line="408" w:lineRule="exact"/>
        <w:ind w:left="0" w:right="0" w:firstLine="576"/>
        <w:jc w:val="left"/>
      </w:pPr>
      <w:r>
        <w:rPr/>
        <w:t xml:space="preserve">(6)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that experienced a significant increase during the previous two school years in enrollment of English language learner students as compared to previous enrollment trends. The office shall notify the schools, and school districts in which the schools are located must provide the cultural competence professional development and training developed under section 203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u w:val="single"/>
        </w:rPr>
        <w:t xml:space="preserve">(3)</w:t>
      </w:r>
      <w:r>
        <w:rPr/>
        <w:t xml:space="preserve"> All student data-related reports </w:t>
      </w:r>
      <w:r>
        <w:t>((</w:t>
      </w:r>
      <w:r>
        <w:rPr>
          <w:strike/>
        </w:rPr>
        <w:t xml:space="preserve">required of</w:t>
      </w:r>
      <w:r>
        <w:t>))</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(2)(h);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u w:val="single"/>
        </w:rPr>
        <w:t xml:space="preserve">(4)</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(5)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on student demographics that is disaggregated ((</w:t>
      </w:r>
      <w:r>
        <w:rPr>
          <w:strike/>
        </w:rPr>
        <w:t xml:space="preserve">by distinct ethnic categories within racial subgroups so that analyses may be conducted on student achievement using the disaggregated data</w:t>
      </w:r>
      <w:r>
        <w:rPr/>
        <w:t xml:space="preserve">)) </w:t>
      </w:r>
      <w:r>
        <w:rPr>
          <w:u w:val="single"/>
        </w:rPr>
        <w:t xml:space="preserve">as required under RCW 28A.300.042</w:t>
      </w:r>
      <w:r>
        <w:rPr/>
        <w:t xml:space="preserv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pPr>
        <w:spacing w:before="0" w:after="0" w:line="408" w:lineRule="exact"/>
        <w:ind w:left="0" w:right="0" w:firstLine="576"/>
        <w:jc w:val="left"/>
      </w:pPr>
      <w:r>
        <w:rPr/>
        <w:t xml:space="preserve">(2) The revised careers in education courses must incorporate:</w:t>
      </w:r>
    </w:p>
    <w:p>
      <w:pPr>
        <w:spacing w:before="0" w:after="0" w:line="408" w:lineRule="exact"/>
        <w:ind w:left="0" w:right="0" w:firstLine="576"/>
        <w:jc w:val="left"/>
      </w:pPr>
      <w:r>
        <w:rPr/>
        <w:t xml:space="preserve">(a) Standards for cultural competence developed by the professional educator standards board under RCW 28A.410.270;</w:t>
      </w:r>
    </w:p>
    <w:p>
      <w:pPr>
        <w:spacing w:before="0" w:after="0" w:line="408" w:lineRule="exact"/>
        <w:ind w:left="0" w:right="0" w:firstLine="576"/>
        <w:jc w:val="left"/>
      </w:pPr>
      <w:r>
        <w:rPr/>
        <w:t xml:space="preserve">(b) The most recent competency standards established by the professional educator standards board and new research on best practices for educator preparation and development; and</w:t>
      </w:r>
    </w:p>
    <w:p>
      <w:pPr>
        <w:spacing w:before="0" w:after="0" w:line="408" w:lineRule="exact"/>
        <w:ind w:left="0" w:right="0" w:firstLine="576"/>
        <w:jc w:val="left"/>
      </w:pPr>
      <w:r>
        <w:rPr/>
        <w:t xml:space="preserve">(c) Curriculum and activities used by the recruiting Washington teachers program under RCW 28A.415.370.</w:t>
      </w:r>
    </w:p>
    <w:p>
      <w:pPr>
        <w:spacing w:before="0" w:after="0" w:line="408" w:lineRule="exact"/>
        <w:ind w:left="0" w:right="0" w:firstLine="576"/>
        <w:jc w:val="left"/>
      </w:pPr>
      <w:r>
        <w:rPr/>
        <w:t xml:space="preserve">(3) The revisions must be completed before the 2016-17 school year.</w:t>
      </w:r>
    </w:p>
    <w:p>
      <w:pPr>
        <w:spacing w:before="0" w:after="0" w:line="408" w:lineRule="exact"/>
        <w:ind w:left="0" w:right="0" w:firstLine="576"/>
        <w:jc w:val="left"/>
      </w:pPr>
      <w:r>
        <w:rPr/>
        <w:t xml:space="preserve">(4) This section expires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professional educator standards board shall convene a work group to design an articulated pathway for teacher preparation and certification that has the characteristics described in this section. The work group must include representatives of community and technical college paraeducator apprenticeship and certificate programs, colleges of education, teacher and paraeducator associations, and the office of the superintendent of public instruction.</w:t>
      </w:r>
    </w:p>
    <w:p>
      <w:pPr>
        <w:spacing w:before="0" w:after="0" w:line="408" w:lineRule="exact"/>
        <w:ind w:left="0" w:right="0" w:firstLine="576"/>
        <w:jc w:val="left"/>
      </w:pPr>
      <w:r>
        <w:rPr/>
        <w:t xml:space="preserve">(2) An articulated pathway for teacher preparation and certification includes:</w:t>
      </w:r>
    </w:p>
    <w:p>
      <w:pPr>
        <w:spacing w:before="0" w:after="0" w:line="408" w:lineRule="exact"/>
        <w:ind w:left="0" w:right="0" w:firstLine="576"/>
        <w:jc w:val="left"/>
      </w:pPr>
      <w:r>
        <w:rPr/>
        <w:t xml:space="preserve">(a) Paraeducator certificate and apprenticeship programs that offer course credits that apply to transferrable associate degrees and are aligned with the standards and competencies for teachers adopted by the professional educator standards board;</w:t>
      </w:r>
    </w:p>
    <w:p>
      <w:pPr>
        <w:spacing w:before="0" w:after="0" w:line="408" w:lineRule="exact"/>
        <w:ind w:left="0" w:right="0" w:firstLine="576"/>
        <w:jc w:val="left"/>
      </w:pPr>
      <w:r>
        <w:rPr/>
        <w:t xml:space="preserve">(b) Associate degree programs that build on and do not duplicate the courses and competencies of paraeducator certificate programs, incorporate field experiences, are aligned with the standards and competencies for teachers adopted by the professional educator standards board, and are transferrable to bachelor's degree in education programs and teacher certification programs;</w:t>
      </w:r>
    </w:p>
    <w:p>
      <w:pPr>
        <w:spacing w:before="0" w:after="0" w:line="408" w:lineRule="exact"/>
        <w:ind w:left="0" w:right="0" w:firstLine="576"/>
        <w:jc w:val="left"/>
      </w:pPr>
      <w:r>
        <w:rPr/>
        <w:t xml:space="preserve">(c) Bachelor's degree programs that lead to teacher certification that build on and do not duplicate the courses and competencies of transferrable associate degrees; and</w:t>
      </w:r>
    </w:p>
    <w:p>
      <w:pPr>
        <w:spacing w:before="0" w:after="0" w:line="408" w:lineRule="exact"/>
        <w:ind w:left="0" w:right="0" w:firstLine="576"/>
        <w:jc w:val="left"/>
      </w:pPr>
      <w:r>
        <w:rPr/>
        <w:t xml:space="preserve">(d) Incorporation of the standards for cultural competence developed by the professional educator standards board under RCW 28A.410.270 throughout the courses and curriculum of the pathway, particularly focusing on multicultural education and principles of language acquisition.</w:t>
      </w:r>
    </w:p>
    <w:p>
      <w:pPr>
        <w:spacing w:before="0" w:after="0" w:line="408" w:lineRule="exact"/>
        <w:ind w:left="0" w:right="0" w:firstLine="576"/>
        <w:jc w:val="left"/>
      </w:pPr>
      <w:r>
        <w:rPr/>
        <w:t xml:space="preserve">(3) The professional educator standards board must submit a report to the education committees of the legislature by January 10, 2016, comparing the current status of pathways for teacher certification to the elements of the articulated pathway. The report must highlight gaps and recommend strategies to address them.</w:t>
      </w:r>
    </w:p>
    <w:p>
      <w:pPr>
        <w:spacing w:before="0" w:after="0" w:line="408" w:lineRule="exact"/>
        <w:ind w:left="0" w:right="0" w:firstLine="576"/>
        <w:jc w:val="left"/>
      </w:pPr>
      <w:r>
        <w:rPr/>
        <w:t xml:space="preserve">(4) The professional educator standards board and the state board for community and technical colleges may exercise their respective authorities regarding program approval to implement the articulated pathway for teacher preparation and certification under this section in approved teacher certification programs and certificate and degree programs offered by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Beginning with the 2016-17 academic year, any community or technical college that offers an apprenticeship program or certificate program for paraeduators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w:t>
      </w:r>
    </w:p>
    <w:p/>
    <w:p>
      <w:pPr>
        <w:jc w:val="center"/>
      </w:pPr>
      <w:r>
        <w:rPr>
          <w:b/>
        </w:rPr>
        <w:t>--- END ---</w:t>
      </w:r>
    </w:p>
    <w:sectPr>
      <w:pgNumType w:start="1"/>
      <w:footerReference xmlns:r="http://schemas.openxmlformats.org/officeDocument/2006/relationships" r:id="R562593c132cf4a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6d2792e20485f" /><Relationship Type="http://schemas.openxmlformats.org/officeDocument/2006/relationships/footer" Target="/word/footer.xml" Id="R562593c132cf4a83" /></Relationships>
</file>