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5a752822f4915" /></Relationships>
</file>

<file path=word/document.xml><?xml version="1.0" encoding="utf-8"?>
<w:document xmlns:w="http://schemas.openxmlformats.org/wordprocessingml/2006/main">
  <w:body>
    <w:p>
      <w:r>
        <w:t>H-3558.2</w:t>
      </w:r>
    </w:p>
    <w:p>
      <w:pPr>
        <w:jc w:val="center"/>
      </w:pPr>
      <w:r>
        <w:t>_______________________________________________</w:t>
      </w:r>
    </w:p>
    <w:p/>
    <w:p>
      <w:pPr>
        <w:jc w:val="center"/>
      </w:pPr>
      <w:r>
        <w:rPr>
          <w:b/>
        </w:rPr>
        <w:t>SUBSTITUTE HOUSE BILL 1632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Klippert, Orwall, Hayes, Jinkins, and Wylie)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9A.36.041, 9.94A.525, 43.43.754, and 43.43.830; reenacting and amending RCW 9.94A.411; adding a new section to chapter 7.36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 or an equivalent municipal ordinance;</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 or an equivalent municipal ordinance;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0" w:after="0" w:line="408" w:lineRule="exact"/>
        <w:ind w:left="0" w:right="0" w:firstLine="576"/>
        <w:jc w:val="left"/>
      </w:pPr>
      <w:r>
        <w:rPr>
          <w:u w:val="single"/>
        </w:rPr>
        <w:t xml:space="preserve">(10) When submitting a biological sample collected as a result of a conviction of an equivalent municipal ordinance requiring submission under subsection (1)(a) of this section to the forensic laboratory services bureau of the Washington state patrol, the submitting agency or department shall include a signed affidavit from the prosecuting attorney of the jurisdiction in which the conviction occurred specifying the state crime to which the municipal ordinance is equivalent.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September 30, 2017.</w:t>
      </w:r>
    </w:p>
    <w:p>
      <w:pPr>
        <w:spacing w:before="0" w:after="0" w:line="408" w:lineRule="exact"/>
        <w:ind w:left="0" w:right="0" w:firstLine="576"/>
        <w:jc w:val="left"/>
      </w:pPr>
      <w:r>
        <w:rPr/>
        <w:t xml:space="preserve">(5) This section expires June 30, 2018.</w:t>
      </w:r>
    </w:p>
    <w:p/>
    <w:p>
      <w:pPr>
        <w:jc w:val="center"/>
      </w:pPr>
      <w:r>
        <w:rPr>
          <w:b/>
        </w:rPr>
        <w:t>--- END ---</w:t>
      </w:r>
    </w:p>
    <w:sectPr>
      <w:pgNumType w:start="1"/>
      <w:footerReference xmlns:r="http://schemas.openxmlformats.org/officeDocument/2006/relationships" r:id="Ra9ea14788e1544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7e4982f494b27" /><Relationship Type="http://schemas.openxmlformats.org/officeDocument/2006/relationships/footer" Target="/word/footer.xml" Id="Ra9ea14788e15443b" /></Relationships>
</file>