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c086b9e6d4352" /></Relationships>
</file>

<file path=word/document.xml><?xml version="1.0" encoding="utf-8"?>
<w:document xmlns:w="http://schemas.openxmlformats.org/wordprocessingml/2006/main">
  <w:body>
    <w:p>
      <w:r>
        <w:t>H-0932.1</w:t>
      </w:r>
    </w:p>
    <w:p>
      <w:pPr>
        <w:jc w:val="center"/>
      </w:pPr>
      <w:r>
        <w:t>_______________________________________________</w:t>
      </w:r>
    </w:p>
    <w:p/>
    <w:p>
      <w:pPr>
        <w:jc w:val="center"/>
      </w:pPr>
      <w:r>
        <w:rPr>
          <w:b/>
        </w:rPr>
        <w:t>HOUSE BILL 1648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Walsh, Springer, Nealey, Haler, and McBride</w:t>
      </w:r>
    </w:p>
    <w:p/>
    <w:p>
      <w:r>
        <w:rPr>
          <w:t xml:space="preserve">Read first time 01/26/15.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infrastructure financing for local governments; and amending RCW 39.104.020 and 39.104.100.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2010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w:t>
      </w:r>
      <w:r>
        <w:t>((</w:t>
      </w:r>
      <w:r>
        <w:rPr>
          <w:strike/>
        </w:rPr>
        <w:t xml:space="preserve">two</w:t>
      </w:r>
      <w:r>
        <w:t>))</w:t>
      </w:r>
      <w:r>
        <w:rPr>
          <w:u w:val="single"/>
        </w:rPr>
        <w:t xml:space="preserve">seven</w:t>
      </w:r>
      <w:r>
        <w:rPr/>
        <w:t xml:space="preserve">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county, and port district.</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(8)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(9)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(10) "Local sales and use taxes" means local revenues derived from the imposition of sales and use taxes authorized in RCW 82.14.030.</w:t>
      </w:r>
    </w:p>
    <w:p>
      <w:pPr>
        <w:spacing w:before="0" w:after="0" w:line="408" w:lineRule="exact"/>
        <w:ind w:left="0" w:right="0" w:firstLine="576"/>
        <w:jc w:val="left"/>
      </w:pPr>
      <w:r>
        <w:rPr/>
        <w:t xml:space="preserve">(11) "Ordinance" means any appropriate method of taking legislative action by a local government.</w:t>
      </w:r>
    </w:p>
    <w:p>
      <w:pPr>
        <w:spacing w:before="0" w:after="0" w:line="408" w:lineRule="exact"/>
        <w:ind w:left="0" w:right="0" w:firstLine="576"/>
        <w:jc w:val="left"/>
      </w:pPr>
      <w:r>
        <w:rPr/>
        <w:t xml:space="preserve">(12)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(13)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(14)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(15)(a)(i)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 by the department;</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 by the department;</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 by the department.</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(16)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(17)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(18)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(19)(a)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(20)(a)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(21) "Revitalization area" means the geographic area adopted by a sponsoring local government and approved by the department,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(22) "Sponsoring local government" means a city, town, county, or any combination thereof, that adopts a revitalization area.</w:t>
      </w:r>
    </w:p>
    <w:p>
      <w:pPr>
        <w:spacing w:before="0" w:after="0" w:line="408" w:lineRule="exact"/>
        <w:ind w:left="0" w:right="0" w:firstLine="576"/>
        <w:jc w:val="left"/>
      </w:pPr>
      <w:r>
        <w:rPr/>
        <w:t xml:space="preserve">(23)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(23)(c).</w:t>
      </w:r>
    </w:p>
    <w:p>
      <w:pPr>
        <w:spacing w:before="0" w:after="0" w:line="408" w:lineRule="exact"/>
        <w:ind w:left="0" w:right="0" w:firstLine="576"/>
        <w:jc w:val="left"/>
      </w:pPr>
      <w:r>
        <w:rPr/>
        <w:t xml:space="preserve">(24)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(25) "State sales and use tax increment" means the estimated amount of annual increase in state sales and use taxes to be received by the state from taxable activity within the revitalization area in the years following the approval of the revitalization area by the department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(27)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2010 c 164 s 6 are each amended to read as follows:</w:t>
      </w:r>
    </w:p>
    <w:p>
      <w:pPr>
        <w:spacing w:before="0" w:after="0" w:line="408" w:lineRule="exact"/>
        <w:ind w:left="0" w:right="0" w:firstLine="576"/>
        <w:jc w:val="left"/>
      </w:pPr>
      <w:r>
        <w:rPr/>
        <w:t xml:space="preserve">(1) Prior to applying to the department to receive a state contribution, a sponsoring local government </w:t>
      </w:r>
      <w:r>
        <w:t>((</w:t>
      </w:r>
      <w:r>
        <w:rPr>
          <w:strike/>
        </w:rPr>
        <w:t xml:space="preserve">shall</w:t>
      </w:r>
      <w:r>
        <w:t>))</w:t>
      </w:r>
      <w:r>
        <w:rPr>
          <w:u w:val="single"/>
        </w:rPr>
        <w:t xml:space="preserve">must</w:t>
      </w:r>
      <w:r>
        <w:rPr/>
        <w:t xml:space="preserve">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department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w:t>
      </w:r>
      <w:r>
        <w:t>((</w:t>
      </w:r>
      <w:r>
        <w:rPr>
          <w:strike/>
        </w:rPr>
        <w:t xml:space="preserve">A first-come basis for applications completed in their entirety and submitted electronically;</w:t>
      </w:r>
    </w:p>
    <w:p>
      <w:pPr>
        <w:spacing w:before="0" w:after="0" w:line="408" w:lineRule="exact"/>
        <w:ind w:left="0" w:right="0" w:firstLine="576"/>
        <w:jc w:val="left"/>
      </w:pPr>
      <w:r>
        <w:rPr>
          <w:strike/>
        </w:rPr>
        <w:t xml:space="preserve">(ii)</w:t>
      </w:r>
      <w:r>
        <w:t>))</w:t>
      </w:r>
      <w:r>
        <w:rPr/>
        <w:t xml:space="preserve"> The availability of a state contribution;</w:t>
      </w:r>
    </w:p>
    <w:p>
      <w:pPr>
        <w:spacing w:before="0" w:after="0" w:line="408" w:lineRule="exact"/>
        <w:ind w:left="0" w:right="0" w:firstLine="576"/>
        <w:jc w:val="left"/>
      </w:pPr>
      <w:r>
        <w:t>((</w:t>
      </w:r>
      <w:r>
        <w:rPr>
          <w:strike/>
        </w:rPr>
        <w:t xml:space="preserve">(iii)</w:t>
      </w:r>
      <w:r>
        <w:t>))</w:t>
      </w:r>
      <w:r>
        <w:rPr>
          <w:u w:val="single"/>
        </w:rPr>
        <w:t xml:space="preserve">(ii)</w:t>
      </w:r>
      <w:r>
        <w:rPr/>
        <w:t xml:space="preserve"> Whether the sponsoring local government would be able to generate enough tax revenue under RCW 82.14.510 to generate the amount of project award requested</w:t>
      </w:r>
      <w:r>
        <w:rPr>
          <w:u w:val="single"/>
        </w:rPr>
        <w:t xml:space="preserve">;</w:t>
      </w:r>
    </w:p>
    <w:p>
      <w:pPr>
        <w:spacing w:before="0" w:after="0" w:line="408" w:lineRule="exact"/>
        <w:ind w:left="0" w:right="0" w:firstLine="576"/>
        <w:jc w:val="left"/>
      </w:pPr>
      <w:r>
        <w:rPr>
          <w:u w:val="single"/>
        </w:rPr>
        <w:t xml:space="preserve">(iii) The number of jobs created;</w:t>
      </w:r>
    </w:p>
    <w:p>
      <w:pPr>
        <w:spacing w:before="0" w:after="0" w:line="408" w:lineRule="exact"/>
        <w:ind w:left="0" w:right="0" w:firstLine="576"/>
        <w:jc w:val="left"/>
      </w:pPr>
      <w:r>
        <w:rPr>
          <w:u w:val="single"/>
        </w:rPr>
        <w:t xml:space="preserve">(iv) The fit of the expected business creation or expansion within the region's preferred economic growth strategy;</w:t>
      </w:r>
    </w:p>
    <w:p>
      <w:pPr>
        <w:spacing w:before="0" w:after="0" w:line="408" w:lineRule="exact"/>
        <w:ind w:left="0" w:right="0" w:firstLine="576"/>
        <w:jc w:val="left"/>
      </w:pPr>
      <w:r>
        <w:rPr>
          <w:u w:val="single"/>
        </w:rPr>
        <w:t xml:space="preserve">(v) The speed with which the project can begin construction;</w:t>
      </w:r>
    </w:p>
    <w:p>
      <w:pPr>
        <w:spacing w:before="0" w:after="0" w:line="408" w:lineRule="exact"/>
        <w:ind w:left="0" w:right="0" w:firstLine="576"/>
        <w:jc w:val="left"/>
      </w:pPr>
      <w:r>
        <w:rPr>
          <w:u w:val="single"/>
        </w:rPr>
        <w:t xml:space="preserve">(vi) The extent to which the project leverages nonstate funds; and</w:t>
      </w:r>
    </w:p>
    <w:p>
      <w:pPr>
        <w:spacing w:before="0" w:after="0" w:line="408" w:lineRule="exact"/>
        <w:ind w:left="0" w:right="0" w:firstLine="576"/>
        <w:jc w:val="left"/>
      </w:pPr>
      <w:r>
        <w:rPr>
          <w:u w:val="single"/>
        </w:rPr>
        <w:t xml:space="preserve">(vii) Geographic location with at least fifty percent of the additional funding approved in RCW 39.104.020 awarded to projects east of the crest of the Cascade mountains</w:t>
      </w:r>
      <w:r>
        <w:rPr/>
        <w:t xml:space="preserve">.</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on a first-come basis,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w:t>
      </w:r>
      <w:r>
        <w:t>((</w:t>
      </w:r>
      <w:r>
        <w:rPr>
          <w:strike/>
        </w:rPr>
        <w:t xml:space="preserve">The department must consider these applications, in the order originally submitted, for project awards prior to considering any new applications.</w:t>
      </w:r>
      <w:r>
        <w:t>))</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w:t>
      </w:r>
    </w:p>
    <w:p>
      <w:pPr>
        <w:spacing w:before="0" w:after="0" w:line="408" w:lineRule="exact"/>
        <w:ind w:left="0" w:right="0" w:firstLine="576"/>
        <w:jc w:val="left"/>
      </w:pPr>
      <w:r>
        <w:rPr/>
        <w:t xml:space="preserve">(5) The department must begin accepting applications on September 1, 2009.</w:t>
      </w:r>
    </w:p>
    <w:p/>
    <w:p>
      <w:pPr>
        <w:jc w:val="center"/>
      </w:pPr>
      <w:r>
        <w:rPr>
          <w:b/>
        </w:rPr>
        <w:t>--- END ---</w:t>
      </w:r>
    </w:p>
    <w:sectPr>
      <w:pgNumType w:start="1"/>
      <w:footerReference xmlns:r="http://schemas.openxmlformats.org/officeDocument/2006/relationships" r:id="Ra7358e887db644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ac455a8f04bff" /><Relationship Type="http://schemas.openxmlformats.org/officeDocument/2006/relationships/footer" Target="/word/footer.xml" Id="Ra7358e887db644dd" /></Relationships>
</file>