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ea413ceaa4524" /></Relationships>
</file>

<file path=word/document.xml><?xml version="1.0" encoding="utf-8"?>
<w:document xmlns:w="http://schemas.openxmlformats.org/wordprocessingml/2006/main">
  <w:body>
    <w:p>
      <w:r>
        <w:t>H-0785.1</w:t>
      </w:r>
    </w:p>
    <w:p>
      <w:pPr>
        <w:jc w:val="center"/>
      </w:pPr>
      <w:r>
        <w:t>_______________________________________________</w:t>
      </w:r>
    </w:p>
    <w:p/>
    <w:p>
      <w:pPr>
        <w:jc w:val="center"/>
      </w:pPr>
      <w:r>
        <w:rPr>
          <w:b/>
        </w:rPr>
        <w:t>HOUSE BILL 1649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and Shea</w:t>
      </w:r>
    </w:p>
    <w:p/>
    <w:p>
      <w:r>
        <w:rPr>
          <w:t xml:space="preserve">Read first time 01/26/15.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recoupment of certain costs by collection agencies;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0" w:after="0" w:line="408" w:lineRule="exact"/>
        <w:ind w:left="0" w:right="0" w:firstLine="576"/>
        <w:jc w:val="left"/>
      </w:pPr>
      <w:r>
        <w:rPr>
          <w:u w:val="single"/>
        </w:rPr>
        <w:t xml:space="preserve">(3) A collection agency may recoup the surcharge imposed in this section from the debtor for documents recording a lien or satisfaction of lien.</w:t>
      </w:r>
    </w:p>
    <w:p/>
    <w:p>
      <w:pPr>
        <w:jc w:val="center"/>
      </w:pPr>
      <w:r>
        <w:rPr>
          <w:b/>
        </w:rPr>
        <w:t>--- END ---</w:t>
      </w:r>
    </w:p>
    <w:sectPr>
      <w:pgNumType w:start="1"/>
      <w:footerReference xmlns:r="http://schemas.openxmlformats.org/officeDocument/2006/relationships" r:id="R42ca776ba06643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68ad8748a4fdf" /><Relationship Type="http://schemas.openxmlformats.org/officeDocument/2006/relationships/footer" Target="/word/footer.xml" Id="R42ca776ba0664313" /></Relationships>
</file>