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aa10f91874ac9" /></Relationships>
</file>

<file path=word/document.xml><?xml version="1.0" encoding="utf-8"?>
<w:document xmlns:w="http://schemas.openxmlformats.org/wordprocessingml/2006/main">
  <w:body>
    <w:p>
      <w:r>
        <w:t>H-1877.2</w:t>
      </w:r>
    </w:p>
    <w:p>
      <w:pPr>
        <w:jc w:val="center"/>
      </w:pPr>
      <w:r>
        <w:t>_______________________________________________</w:t>
      </w:r>
    </w:p>
    <w:p/>
    <w:p>
      <w:pPr>
        <w:jc w:val="center"/>
      </w:pPr>
      <w:r>
        <w:rPr>
          <w:b/>
        </w:rPr>
        <w:t>SUBSTITUTE HOUSE BILL 1695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Clibborn, Hayes, Ryu, Kochmar, Senn, Zeiger, Tarleton, Fey, Farrell, Harmsworth, Van Werven, Stanford, Fitzgibbon, Stokesbary, Wylie, Tharinger, Moscoso, Riccelli,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new sections to chapter 70.95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further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the state of Washington and its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(1)(a) The department of transportation and its implementation partners must collaboratively develop and establish objectives and strategies for the reuse and recycling of construction aggregate and recycled concrete materials that must include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(b)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(2) Beginning January 1, 2016:</w:t>
      </w:r>
    </w:p>
    <w:p>
      <w:pPr>
        <w:spacing w:before="0" w:after="0" w:line="408" w:lineRule="exact"/>
        <w:ind w:left="0" w:right="0" w:firstLine="576"/>
        <w:jc w:val="left"/>
      </w:pPr>
      <w:r>
        <w:rPr/>
        <w:t xml:space="preserve">(a)(i) The department of transportation and each local government entity with greater than one hundred thousand residents must, unless construction aggregates and recycled concrete materials are not readily available to the department of transportation or in the immediate geographic area of a local government entity, specify and annually use a minimum of twenty</w:t>
      </w:r>
      <w:r>
        <w:rPr/>
        <w:noBreakHyphen/>
      </w:r>
      <w:r>
        <w:rPr/>
        <w:t xml:space="preserve">five percent construction aggregate and recycled concrete materials on their cumulative transportation, roadway, street, highway, and other transportation infrastructure projects and increase that percentage by at least five percent each year through 2020;</w:t>
      </w:r>
    </w:p>
    <w:p>
      <w:pPr>
        <w:spacing w:before="0" w:after="0" w:line="408" w:lineRule="exact"/>
        <w:ind w:left="0" w:right="0" w:firstLine="576"/>
        <w:jc w:val="left"/>
      </w:pPr>
      <w:r>
        <w:rPr/>
        <w:t xml:space="preserve">(ii) The annual increase in the total, cumulative use of construction aggregate and recycled concrete materials required under this subsection is intended to assist in meeting the criteria, objectives, and strategies for successful, sustainable, and long-term recycling and reuse of construction aggregate and recycled concrete materials as required in subsection (1) of this section;</w:t>
      </w:r>
    </w:p>
    <w:p>
      <w:pPr>
        <w:spacing w:before="0" w:after="0" w:line="408" w:lineRule="exact"/>
        <w:ind w:left="0" w:right="0" w:firstLine="576"/>
        <w:jc w:val="left"/>
      </w:pPr>
      <w:r>
        <w:rPr/>
        <w:t xml:space="preserve">(b) All local governmental entities with a population less than one hundred thousand residents or with jurisdiction over a public works transportation or infrastructure project must adopt the standard specifications as developed by the department of transportation for the use of recycled materials as shown in the department of transportation's standard specifications for road, bridge, and municipal construction, section 9-03.21, table 9-03.21(1)E; and</w:t>
      </w:r>
    </w:p>
    <w:p>
      <w:pPr>
        <w:spacing w:before="0" w:after="0" w:line="408" w:lineRule="exact"/>
        <w:ind w:left="0" w:right="0" w:firstLine="576"/>
        <w:jc w:val="left"/>
      </w:pPr>
      <w:r>
        <w:rPr/>
        <w:t xml:space="preserve">(c) Any local governmental entity with a population of less than one hundred thousand residents must:</w:t>
      </w:r>
    </w:p>
    <w:p>
      <w:pPr>
        <w:spacing w:before="0" w:after="0" w:line="408" w:lineRule="exact"/>
        <w:ind w:left="0" w:right="0" w:firstLine="576"/>
        <w:jc w:val="left"/>
      </w:pPr>
      <w:r>
        <w:rPr/>
        <w:t xml:space="preserve">(i)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(ii)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(iii)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interested local governmental entities and Washington-based associations representing the appropriate sectors of the construction industry.</w:t>
      </w:r>
    </w:p>
    <w:p>
      <w:pPr>
        <w:spacing w:before="0" w:after="0" w:line="408" w:lineRule="exact"/>
        <w:ind w:left="0" w:right="0" w:firstLine="576"/>
        <w:jc w:val="left"/>
      </w:pPr>
      <w:r>
        <w:rPr/>
        <w:t xml:space="preserve">(c) "Local government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must report annually to the legislature on the progress of meeting the 2020 recycling objective established in section 2 of this act. The annual report must be submitted to the legislature, consistent with RCW 43.01.036, by January 2nd of each year from 2016 through 2020.</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40ada99738da4a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b381489604c22" /><Relationship Type="http://schemas.openxmlformats.org/officeDocument/2006/relationships/footer" Target="/word/footer.xml" Id="R40ada99738da4a59" /></Relationships>
</file>