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4644bd5fc4551" /></Relationships>
</file>

<file path=word/document.xml><?xml version="1.0" encoding="utf-8"?>
<w:document xmlns:w="http://schemas.openxmlformats.org/wordprocessingml/2006/main">
  <w:body>
    <w:p>
      <w:r>
        <w:t>H-2013.1</w:t>
      </w:r>
    </w:p>
    <w:p>
      <w:pPr>
        <w:jc w:val="center"/>
      </w:pPr>
      <w:r>
        <w:t>_______________________________________________</w:t>
      </w:r>
    </w:p>
    <w:p/>
    <w:p>
      <w:pPr>
        <w:jc w:val="center"/>
      </w:pPr>
      <w:r>
        <w:rPr>
          <w:b/>
        </w:rPr>
        <w:t>SUBSTITUTE HOUSE BILL 1709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Springer, Kretz, Takko, Pike, Wilcox, and Fitzgibbon)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process for the payment of impact fees through provisions stipulated in recorded covenants; amending RCW 82.02.050 and 36.70A.070;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1994 c 257 s 24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w:t>
      </w:r>
      <w:r>
        <w:rPr>
          <w:u w:val="single"/>
        </w:rPr>
        <w:t xml:space="preserve">(a) Counties, cities, and towns collecting impact fees must adopt a permanent system for the collection of impact fees from applicants for residential building permits issued for single-family detached or attached residential construction that includes:</w:t>
      </w:r>
    </w:p>
    <w:p>
      <w:pPr>
        <w:spacing w:before="0" w:after="0" w:line="408" w:lineRule="exact"/>
        <w:ind w:left="0" w:right="0" w:firstLine="576"/>
        <w:jc w:val="left"/>
      </w:pPr>
      <w:r>
        <w:rPr>
          <w:u w:val="single"/>
        </w:rPr>
        <w:t xml:space="preserve">(i)(A) A process by which an applicant for any development permit that requires payment of an impact fee must record a covenant against title to the lot or unit subject to the impact fee obligation. A covenant under this subsection (3)(a)(i) must also serve as a lien binding on all successors in title after the recordation. The covenant must require payment equal to one hundred percent of the impact fee applicable to the lot or unit at the rates in effect at the time of final payment of the impact fee, less a credit for any deposits paid.</w:t>
      </w:r>
    </w:p>
    <w:p>
      <w:pPr>
        <w:spacing w:before="0" w:after="0" w:line="408" w:lineRule="exact"/>
        <w:ind w:left="0" w:right="0" w:firstLine="576"/>
        <w:jc w:val="left"/>
      </w:pPr>
      <w:r>
        <w:rPr>
          <w:u w:val="single"/>
        </w:rPr>
        <w:t xml:space="preserve">(B) Covenants recorded in accordance with this subsection (3)(a)(i) must provide for payment of the impact fee at the earlier of the following: The time of closing of sale of the applicable lot or unit; or in accordance with the applicable county, city, or town ordinance, eighteen or more months after the building permit is issued. Payment of impact fees due at closing of a sale must, unless an agreement to the contrary is reached between buyer and seller, be made from the seller's proceeds. In the absence of an agreement to the contrary, the seller bears strict liability for the payment of the impact fees.</w:t>
      </w:r>
    </w:p>
    <w:p>
      <w:pPr>
        <w:spacing w:before="0" w:after="0" w:line="408" w:lineRule="exact"/>
        <w:ind w:left="0" w:right="0" w:firstLine="576"/>
        <w:jc w:val="left"/>
      </w:pPr>
      <w:r>
        <w:rPr>
          <w:u w:val="single"/>
        </w:rPr>
        <w:t xml:space="preserve">(C) The seller must provide written disclosure of the covenant authorized under this subsection (3)(a)(i) as required by chapter 64.06 RCW.</w:t>
      </w:r>
    </w:p>
    <w:p>
      <w:pPr>
        <w:spacing w:before="0" w:after="0" w:line="408" w:lineRule="exact"/>
        <w:ind w:left="0" w:right="0" w:firstLine="576"/>
        <w:jc w:val="left"/>
      </w:pPr>
      <w:r>
        <w:rPr>
          <w:u w:val="single"/>
        </w:rPr>
        <w:t xml:space="preserve">(D) Upon receiving payment of impact fees due, the applicable county, city, or town must remove the covenant recorded in accordance with this subsection (3)(a)(i); or</w:t>
      </w:r>
    </w:p>
    <w:p>
      <w:pPr>
        <w:spacing w:before="0" w:after="0" w:line="408" w:lineRule="exact"/>
        <w:ind w:left="0" w:right="0" w:firstLine="576"/>
        <w:jc w:val="left"/>
      </w:pPr>
      <w:r>
        <w:rPr>
          <w:u w:val="single"/>
        </w:rPr>
        <w:t xml:space="preserve">(ii) A process by which an applicant may apply for a deferral of the impact fee payment until final inspection or certificate of occupancy, or equivalent certification. Cities utilizing the deferral process established by this subsection (3)(a)(ii) may withhold certification of final inspection, certificate of occupancy, or equivalent certification until the impact fee payment has been made in full.</w:t>
      </w:r>
    </w:p>
    <w:p>
      <w:pPr>
        <w:spacing w:before="0" w:after="0" w:line="408" w:lineRule="exact"/>
        <w:ind w:left="0" w:right="0" w:firstLine="576"/>
        <w:jc w:val="left"/>
      </w:pPr>
      <w:r>
        <w:rPr>
          <w:u w:val="single"/>
        </w:rPr>
        <w:t xml:space="preserve">(b) Counties, cities, and towns may adopt local systems for the</w:t>
      </w:r>
      <w:r>
        <w:rPr/>
        <w:t xml:space="preserve"> </w:t>
      </w:r>
      <w:r>
        <w:rPr>
          <w:u w:val="single"/>
        </w:rPr>
        <w:t xml:space="preserve">collection of impact fees that differ from the requirements of this subsection (3) if the payment timing provisions are consistent with those of this subsection.</w:t>
      </w:r>
    </w:p>
    <w:p>
      <w:pPr>
        <w:spacing w:before="0" w:after="0" w:line="408" w:lineRule="exact"/>
        <w:ind w:left="0" w:right="0" w:firstLine="576"/>
        <w:jc w:val="left"/>
      </w:pPr>
      <w:r>
        <w:rPr>
          <w:u w:val="single"/>
        </w:rPr>
        <w:t xml:space="preserve">(c) A county, city, or town with an impact fee deferral process on or before July 1, 2016, is exempt from the requirements of this subsection (3) if the deferral process delays all impact fees and remains in effect after July 1, 2016.</w:t>
      </w:r>
    </w:p>
    <w:p>
      <w:pPr>
        <w:spacing w:before="0" w:after="0" w:line="408" w:lineRule="exact"/>
        <w:ind w:left="0" w:right="0" w:firstLine="576"/>
        <w:jc w:val="left"/>
      </w:pPr>
      <w:r>
        <w:rPr>
          <w:u w:val="single"/>
        </w:rPr>
        <w:t xml:space="preserve">(d) In each calendar year that an applicant receives a deferral under this subsection (3), the applicant may receive a deferral for the first twenty single-family residential construction building permits per school district. However, a county, city, or town may, by ordinance, elect to defer more than twenty single-family residential construction building permits for an applicant as required by this subsection (3)(d) if:</w:t>
      </w:r>
    </w:p>
    <w:p>
      <w:pPr>
        <w:spacing w:before="0" w:after="0" w:line="408" w:lineRule="exact"/>
        <w:ind w:left="0" w:right="0" w:firstLine="576"/>
        <w:jc w:val="left"/>
      </w:pPr>
      <w:r>
        <w:rPr>
          <w:u w:val="single"/>
        </w:rPr>
        <w:t xml:space="preserve">(i) The county, city, or town collects impact fees on behalf of the jurisdiction or jurisdictions for which the collection of impact fees would be delayed; and</w:t>
      </w:r>
    </w:p>
    <w:p>
      <w:pPr>
        <w:spacing w:before="0" w:after="0" w:line="408" w:lineRule="exact"/>
        <w:ind w:left="0" w:right="0" w:firstLine="576"/>
        <w:jc w:val="left"/>
      </w:pPr>
      <w:r>
        <w:rPr>
          <w:u w:val="single"/>
        </w:rPr>
        <w:t xml:space="preserve">(ii) The county, city, or town and the jurisdiction or jurisdictions for which the collection of impact fees would be delayed agree to the additional deferrals.</w:t>
      </w:r>
    </w:p>
    <w:p>
      <w:pPr>
        <w:spacing w:before="0" w:after="0" w:line="408" w:lineRule="exact"/>
        <w:ind w:left="0" w:right="0" w:firstLine="576"/>
        <w:jc w:val="left"/>
      </w:pPr>
      <w:r>
        <w:rPr>
          <w:u w:val="single"/>
        </w:rPr>
        <w:t xml:space="preserve">(4)</w:t>
      </w:r>
      <w:r>
        <w:rPr/>
        <w:t xml:space="preserve">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(5)(a)</w:t>
      </w:r>
      <w:r>
        <w:rPr/>
        <w:t xml:space="preserve">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w:t>
      </w:r>
      <w:r>
        <w:rPr>
          <w:strike/>
        </w:rPr>
        <w:t xml:space="preserve">shall be</w:t>
      </w:r>
      <w:r>
        <w:rPr/>
        <w:t xml:space="preserve">)) </w:t>
      </w:r>
      <w:r>
        <w:rPr>
          <w:u w:val="single"/>
        </w:rPr>
        <w:t xml:space="preserve">is</w:t>
      </w:r>
      <w:r>
        <w:rPr/>
        <w:t xml:space="preserve">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Additional demands placed on existing public facilities by new development;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Additional public facility improvements required to serve new development.</w:t>
      </w:r>
    </w:p>
    <w:p>
      <w:pPr>
        <w:spacing w:before="0" w:after="0" w:line="408" w:lineRule="exact"/>
        <w:ind w:left="0" w:right="0" w:firstLine="576"/>
        <w:jc w:val="left"/>
      </w:pPr>
      <w:r>
        <w:rPr>
          <w:u w:val="single"/>
        </w:rPr>
        <w:t xml:space="preserve">(b)</w:t>
      </w:r>
      <w:r>
        <w:rPr/>
        <w:t xml:space="preserve">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w:t>
      </w:r>
      <w:r>
        <w:rPr>
          <w:strike/>
        </w:rPr>
        <w:t xml:space="preserve">shall be</w:t>
      </w:r>
      <w:r>
        <w:rPr/>
        <w:t xml:space="preserve">)) </w:t>
      </w:r>
      <w:r>
        <w:rPr>
          <w:u w:val="single"/>
        </w:rPr>
        <w:t xml:space="preserve">are</w:t>
      </w:r>
      <w:r>
        <w:rPr/>
        <w:t xml:space="preserve"> subject to the requirements of (d)(iv) of this subsection, but ((</w:t>
      </w:r>
      <w:r>
        <w:rPr>
          <w:strike/>
        </w:rPr>
        <w:t xml:space="preserve">shall</w:t>
      </w:r>
      <w:r>
        <w:rPr/>
        <w:t xml:space="preserve">)) </w:t>
      </w:r>
      <w:r>
        <w:rPr>
          <w:u w:val="single"/>
        </w:rPr>
        <w:t xml:space="preserve">are</w:t>
      </w:r>
      <w:r>
        <w:rPr/>
        <w:t xml:space="preserve"> not ((</w:t>
      </w:r>
      <w:r>
        <w:rPr>
          <w:strike/>
        </w:rPr>
        <w:t xml:space="preserve">be</w:t>
      </w:r>
      <w:r>
        <w:rPr/>
        <w:t xml:space="preserv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 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w:t>
      </w:r>
      <w:r>
        <w:rPr>
          <w:u w:val="single"/>
        </w:rPr>
        <w:t xml:space="preserve">If the collection of impact fees is delayed under RCW 82.02.050(3), the six-year period required by this subsection (6)(b) must begin after the county or city receives full payment of all impact fees due.</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2016.</w:t>
      </w:r>
    </w:p>
    <w:p/>
    <w:p>
      <w:pPr>
        <w:jc w:val="center"/>
      </w:pPr>
      <w:r>
        <w:rPr>
          <w:b/>
        </w:rPr>
        <w:t>--- END ---</w:t>
      </w:r>
    </w:p>
    <w:sectPr>
      <w:pgNumType w:start="1"/>
      <w:footerReference xmlns:r="http://schemas.openxmlformats.org/officeDocument/2006/relationships" r:id="R3e830955f3704d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dac675e2c34b14" /><Relationship Type="http://schemas.openxmlformats.org/officeDocument/2006/relationships/footer" Target="/word/footer.xml" Id="R3e830955f3704d30" /></Relationships>
</file>