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36e0140e04c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Stanford, Manweller, Blake, Orcutt, Ryu, Zeiger, Moscoso, Harris, Appleton, Wilcox, Takko, Haler, Pollet, Kochmar, Ormsby, Holy, Vick, Fey, Sells, Dunshee, Hayes, Farrell, S. Hunt, Reykdal, and Van De Wege)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person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(i)(A) One million five hundred thousand dollars combined single limit coverage for bodily injury and property damage liability coverage;</w:t>
      </w:r>
    </w:p>
    <w:p>
      <w:pPr>
        <w:spacing w:before="0" w:after="0" w:line="408" w:lineRule="exact"/>
        <w:ind w:left="0" w:right="0" w:firstLine="576"/>
        <w:jc w:val="left"/>
      </w:pPr>
      <w:r>
        <w:rPr/>
        <w:t xml:space="preserve">(B) Uninsured and underinsured motorist coverage of five million dollars; and</w:t>
      </w:r>
    </w:p>
    <w:p>
      <w:pPr>
        <w:spacing w:before="0" w:after="0" w:line="408" w:lineRule="exact"/>
        <w:ind w:left="0" w:right="0" w:firstLine="576"/>
        <w:jc w:val="left"/>
      </w:pPr>
      <w:r>
        <w:rPr/>
        <w:t xml:space="preserve">(ii) If a third party contracts with the person operating the vehicle on behalf of the railroad company to transport railroad employees, the insurance requirements may be satisfied by either the third party or the person operating the vehicle, so long as the person operating the vehicle names the third party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person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Persons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2015, the commission must develop an inspection program for contract crew hauling vehicles. This program must require periodic inspection of each vehicle, including review of operational practices.</w:t>
      </w:r>
    </w:p>
    <w:p/>
    <w:p>
      <w:pPr>
        <w:jc w:val="center"/>
      </w:pPr>
      <w:r>
        <w:rPr>
          <w:b/>
        </w:rPr>
        <w:t>--- END ---</w:t>
      </w:r>
    </w:p>
    <w:sectPr>
      <w:pgNumType w:start="1"/>
      <w:footerReference xmlns:r="http://schemas.openxmlformats.org/officeDocument/2006/relationships" r:id="Rd84d9309f2944d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621c322d44a0a" /><Relationship Type="http://schemas.openxmlformats.org/officeDocument/2006/relationships/footer" Target="/word/footer.xml" Id="Rd84d9309f2944d10" /></Relationships>
</file>