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365fe47f44744" /></Relationships>
</file>

<file path=word/document.xml><?xml version="1.0" encoding="utf-8"?>
<w:document xmlns:w="http://schemas.openxmlformats.org/wordprocessingml/2006/main">
  <w:body>
    <w:p>
      <w:r>
        <w:t>H-1163.2</w:t>
      </w:r>
    </w:p>
    <w:p>
      <w:pPr>
        <w:jc w:val="center"/>
      </w:pPr>
      <w:r>
        <w:t>_______________________________________________</w:t>
      </w:r>
    </w:p>
    <w:p/>
    <w:p>
      <w:pPr>
        <w:jc w:val="center"/>
      </w:pPr>
      <w:r>
        <w:rPr>
          <w:b/>
        </w:rPr>
        <w:t>HOUSE BILL 1850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Clibborn, Orcutt, Takko, Harmsworth, Riccelli, Rodne, Bergquist, Wilson, Robinson, Smith, Muri, and Magendanz</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efficiency of conducting certain department of transportation actions by exempting these actions from obtaining local reviews or permits under the shoreline management act; amending RCW 90.58.355;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the legislature finds that regulatory reviews under chapter 90.58 RCW should be reformed. The activities of the department of transportation are guided by manuals and standards of practice designed to effectively avoid and minimize impacts to the environment. These activities are also subject to periodically renewed programmatic permits from federal agencies, the department of fish and wildlife, and the department of ecology water quality program. Adding local permits or letters of exemption under the shoreline management act does not substantively improve the environmental outcomes of this work. Adding these local reviews creates time delays, the imposition of inconsistent standards and manuals, and uncertainty in the permitting process. Therefore, the legislature finds that it is in the public interest to exclude state highway maintenance and minor safety upgrade activities from local review and approval processes under the shoreline management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w:t>
      </w:r>
      <w:r>
        <w:rPr>
          <w:u w:val="single"/>
        </w:rPr>
        <w:t xml:space="preserve">The following department of transportation projects and activities if they meet the conditions of (b) of this subsection:</w:t>
      </w:r>
    </w:p>
    <w:p>
      <w:pPr>
        <w:spacing w:before="0" w:after="0" w:line="408" w:lineRule="exact"/>
        <w:ind w:left="0" w:right="0" w:firstLine="576"/>
        <w:jc w:val="left"/>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w:t>
      </w:r>
      <w:r>
        <w:rPr>
          <w:u w:val="single"/>
        </w:rPr>
        <w:t xml:space="preserve">p</w:t>
      </w:r>
      <w:r>
        <w:rPr>
          <w:u w:val="single"/>
        </w:rPr>
        <w:t xml:space="preserve">edestrian/bicycle</w:t>
      </w:r>
      <w:r>
        <w:rPr>
          <w:u w:val="single"/>
        </w:rPr>
        <w:t xml:space="preserve"> paths and bike lanes;</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grade-separated crossings, grooving, glare screen, safety barriers, energy attenuators, and hazard/danger tree removal.</w:t>
      </w:r>
    </w:p>
    <w:p>
      <w:pPr>
        <w:spacing w:before="0" w:after="0" w:line="408" w:lineRule="exact"/>
        <w:ind w:left="0" w:right="0" w:firstLine="576"/>
        <w:jc w:val="left"/>
      </w:pPr>
      <w:r>
        <w:rPr>
          <w:u w:val="single"/>
        </w:rPr>
        <w:t xml:space="preserve">(b) Activities exempted under this subsection must occur within the right-of-way of state highway facilities or the lease or ownership area for ferry terminals. For purposes of this section, the replacement of structures and construction or installation of safety structures and equipment does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
      <w:pPr>
        <w:jc w:val="center"/>
      </w:pPr>
      <w:r>
        <w:rPr>
          <w:b/>
        </w:rPr>
        <w:t>--- END ---</w:t>
      </w:r>
    </w:p>
    <w:sectPr>
      <w:pgNumType w:start="1"/>
      <w:footerReference xmlns:r="http://schemas.openxmlformats.org/officeDocument/2006/relationships" r:id="Re5dd9e669b4f4d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f02dbf8564726" /><Relationship Type="http://schemas.openxmlformats.org/officeDocument/2006/relationships/footer" Target="/word/footer.xml" Id="Re5dd9e669b4f4d8d" /></Relationships>
</file>