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457a85f9364c2f" /></Relationships>
</file>

<file path=word/document.xml><?xml version="1.0" encoding="utf-8"?>
<w:document xmlns:w="http://schemas.openxmlformats.org/wordprocessingml/2006/main">
  <w:body>
    <w:p>
      <w:r>
        <w:t>H-1719.1</w:t>
      </w:r>
    </w:p>
    <w:p>
      <w:pPr>
        <w:jc w:val="center"/>
      </w:pPr>
      <w:r>
        <w:t>_______________________________________________</w:t>
      </w:r>
    </w:p>
    <w:p/>
    <w:p>
      <w:pPr>
        <w:jc w:val="center"/>
      </w:pPr>
      <w:r>
        <w:rPr>
          <w:b/>
        </w:rPr>
        <w:t>SUBSTITUTE HOUSE BILL 1853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Magendanz, Bergquist, Morris, Muri, Tarleton, Fitzgibbon, and Tharinger)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leadership in electric vehicle charging infrastructure build-out;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pPr>
        <w:spacing w:before="0" w:after="0" w:line="408" w:lineRule="exact"/>
        <w:ind w:left="0" w:right="0" w:firstLine="576"/>
        <w:jc w:val="left"/>
      </w:pPr>
      <w:r>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pPr>
        <w:spacing w:before="0" w:after="0" w:line="408" w:lineRule="exact"/>
        <w:ind w:left="0" w:right="0" w:firstLine="576"/>
        <w:jc w:val="left"/>
      </w:pPr>
      <w:r>
        <w:rPr/>
        <w:t xml:space="preserve">(3) The legislature finds that utilities, who are traditionally responsible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for the benefit of ratepayers. The commission must consider and may adopt other policies to improve access to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 and which are reasonably expected, at the time they are placed in the rate base, to result in real and tangible benefits for rate payers by being installed and located where electric vehicles are most likely to be parked for intervals longer than two hours.</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NumType w:start="1"/>
      <w:footerReference xmlns:r="http://schemas.openxmlformats.org/officeDocument/2006/relationships" r:id="Rfac61412344d42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738a4617d49d4" /><Relationship Type="http://schemas.openxmlformats.org/officeDocument/2006/relationships/footer" Target="/word/footer.xml" Id="Rfac61412344d4287" /></Relationships>
</file>