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4bf65b791946f4" /></Relationships>
</file>

<file path=word/document.xml><?xml version="1.0" encoding="utf-8"?>
<w:document xmlns:w="http://schemas.openxmlformats.org/wordprocessingml/2006/main">
  <w:body>
    <w:p>
      <w:r>
        <w:t>H-1267.1</w:t>
      </w:r>
    </w:p>
    <w:p>
      <w:pPr>
        <w:jc w:val="center"/>
      </w:pPr>
      <w:r>
        <w:t>_______________________________________________</w:t>
      </w:r>
    </w:p>
    <w:p/>
    <w:p>
      <w:pPr>
        <w:jc w:val="center"/>
      </w:pPr>
      <w:r>
        <w:rPr>
          <w:b/>
        </w:rPr>
        <w:t>HOUSE BILL 1902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Harmsworth, Young, Scott, Griffey, and Hayes</w:t>
      </w:r>
    </w:p>
    <w:p/>
    <w:p>
      <w:r>
        <w:rPr>
          <w:t xml:space="preserve">Read first time 02/02/15.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renaming the spirits retail license fee as a tax and dedicating revenue to education; and amending RCW 66.24.630, 66.24.632, 66.08.190, and 82.08.155.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retail spirits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(4)(a) Except as otherwise provided in (b) of this subsection, each spirits retail licensee must pay to the </w:t>
      </w:r>
      <w:r>
        <w:t>((</w:t>
      </w:r>
      <w:r>
        <w:rPr>
          <w:strike/>
        </w:rPr>
        <w:t xml:space="preserve">board</w:t>
      </w:r>
      <w:r>
        <w:t>))</w:t>
      </w:r>
      <w:r>
        <w:rPr>
          <w:u w:val="single"/>
        </w:rPr>
        <w:t xml:space="preserve">department of revenue</w:t>
      </w:r>
      <w:r>
        <w:rPr/>
        <w:t xml:space="preserve">, for deposit into the liquor revolving fund, a license issuance </w:t>
      </w:r>
      <w:r>
        <w:t>((</w:t>
      </w:r>
      <w:r>
        <w:rPr>
          <w:strike/>
        </w:rPr>
        <w:t xml:space="preserve">fee</w:t>
      </w:r>
      <w:r>
        <w:t>))</w:t>
      </w:r>
      <w:r>
        <w:rPr>
          <w:u w:val="single"/>
        </w:rPr>
        <w:t xml:space="preserve">tax</w:t>
      </w:r>
      <w:r>
        <w:rPr/>
        <w:t xml:space="preserve"> equivalent to seventeen percent of all spirits sales revenues under the license, exclusive of taxes collected by the licensee and of sales of items on which a license fee payable under this section has otherwise been incurred. The </w:t>
      </w:r>
      <w:r>
        <w:t>((</w:t>
      </w:r>
      <w:r>
        <w:rPr>
          <w:strike/>
        </w:rPr>
        <w:t xml:space="preserve">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strike/>
        </w:rPr>
        <w:t xml:space="preserve">(b) This subsection (4) does not apply to craft distilleries</w:t>
      </w:r>
      <w:r>
        <w:t>))</w:t>
      </w:r>
      <w:r>
        <w:rPr>
          <w:u w:val="single"/>
        </w:rPr>
        <w:t xml:space="preserve">department must establish rules for the reporting of spirits sales revenues and payments of such taxes by the licensee at the same time as required for reporting and payment of spirits taxes under RCW 82.08.150. Chapter 82.32 RCW applies to the license issuance tax required under this subsection (4)(a).</w:t>
      </w:r>
    </w:p>
    <w:p>
      <w:pPr>
        <w:spacing w:before="0" w:after="0" w:line="408" w:lineRule="exact"/>
        <w:ind w:left="0" w:right="0" w:firstLine="576"/>
        <w:jc w:val="left"/>
      </w:pPr>
      <w:r>
        <w:rPr>
          <w:u w:val="single"/>
        </w:rPr>
        <w:t xml:space="preserve">(b) Craft distilleries are exempt from the license issuance tax required under (a) of this subsection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retail spirits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retail spirits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632</w:t>
      </w:r>
      <w:r>
        <w:rPr/>
        <w:t xml:space="preserve"> and 2013 2nd sp.s. c 12 s 3 are each amended to read as follows:</w:t>
      </w:r>
    </w:p>
    <w:p>
      <w:pPr>
        <w:spacing w:before="0" w:after="0" w:line="408" w:lineRule="exact"/>
        <w:ind w:left="0" w:right="0" w:firstLine="576"/>
        <w:jc w:val="left"/>
      </w:pPr>
      <w:r>
        <w:rPr/>
        <w:t xml:space="preserve">(1) Beginning June 30, 2013, the license issuance </w:t>
      </w:r>
      <w:r>
        <w:t>((</w:t>
      </w:r>
      <w:r>
        <w:rPr>
          <w:strike/>
        </w:rPr>
        <w:t xml:space="preserve">fee</w:t>
      </w:r>
      <w:r>
        <w:t>))</w:t>
      </w:r>
      <w:r>
        <w:rPr>
          <w:u w:val="single"/>
        </w:rPr>
        <w:t xml:space="preserve">tax</w:t>
      </w:r>
      <w:r>
        <w:rPr/>
        <w:t xml:space="preserve"> under RCW 66.24.630(4) does not apply to a spirits retail licensee that was a contract liquor store manager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(2) Beginning June 30, 2013, the license issuance fee under RCW 66.24.630(4) does not apply to a spirits retail licensee that was a former state store auction buyer,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(3) The exemptions created in this section attach to any successor, by purchase or otherwise, to the spirits retail license, except that an exemption does not attach to any such successor that owns, directly or indirectly, any interest in a spirits retail license that is not derived directly from a former contract liquor store manager or a former state store auction buyer.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 When excess funds are distributed during the months of June, September, December, and March of each year, all moneys subject to distribution must be disbursed to border areas, counties, cities, and towns as provided in RCW 66.24.065.</w:t>
      </w:r>
    </w:p>
    <w:p>
      <w:pPr>
        <w:spacing w:before="0" w:after="0" w:line="408" w:lineRule="exact"/>
        <w:ind w:left="0" w:right="0" w:firstLine="576"/>
        <w:jc w:val="left"/>
      </w:pPr>
      <w:r>
        <w:rPr/>
        <w:t xml:space="preserve">(3) </w:t>
      </w:r>
      <w:r>
        <w:rPr>
          <w:u w:val="single"/>
        </w:rPr>
        <w:t xml:space="preserve">To the extent funds are available after making the distributions in subsections (1) and (2) of this section, the amount collected under RCW 66.24.630(4) must be deposited in the education legacy trust account created under RCW 83.100.230.</w:t>
      </w:r>
    </w:p>
    <w:p>
      <w:pPr>
        <w:spacing w:before="0" w:after="0" w:line="408" w:lineRule="exact"/>
        <w:ind w:left="0" w:right="0" w:firstLine="576"/>
        <w:jc w:val="left"/>
      </w:pPr>
      <w:r>
        <w:rPr>
          <w:u w:val="single"/>
        </w:rPr>
        <w:t xml:space="preserve">(4)</w:t>
      </w:r>
      <w:r>
        <w:rPr/>
        <w:t xml:space="preserve"> The amount remaining after distributions under subsections (1) </w:t>
      </w:r>
      <w:r>
        <w:t>((</w:t>
      </w:r>
      <w:r>
        <w:rPr>
          <w:strike/>
        </w:rPr>
        <w:t xml:space="preserve">and (2)</w:t>
      </w:r>
      <w:r>
        <w:t>))</w:t>
      </w:r>
      <w:r>
        <w:rPr>
          <w:u w:val="single"/>
        </w:rPr>
        <w:t xml:space="preserve">through (3)</w:t>
      </w:r>
      <w:r>
        <w:rPr/>
        <w:t xml:space="preserve"> of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liquor control board suspend the taxpayer's spirits license or licenses and refuse to renew any existing spirits license held by the taxpayer or issue any new spirits license to the taxpayer. The department must provide written notice to the affected taxpayer of the department's request to the liquor control board.</w:t>
      </w:r>
    </w:p>
    <w:p>
      <w:pPr>
        <w:spacing w:before="0" w:after="0" w:line="408" w:lineRule="exact"/>
        <w:ind w:left="0" w:right="0" w:firstLine="576"/>
        <w:jc w:val="left"/>
      </w:pPr>
      <w:r>
        <w:rPr/>
        <w:t xml:space="preserve">(b) Before the department may make a request to the liquor control board as authorized in (a) of this subsection (1), the department must have provided the taxpayer with at least seven calendar days prior written notice. This notice must inform the taxpayer that the department intends to request that the liquor control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liquor control board under </w:t>
      </w:r>
      <w:r>
        <w:t>((</w:t>
      </w:r>
      <w:r>
        <w:rPr>
          <w:strike/>
        </w:rPr>
        <w:t xml:space="preserve">subsection (1)</w:t>
      </w:r>
      <w:r>
        <w:t>))</w:t>
      </w:r>
      <w:r>
        <w:rPr/>
        <w:t xml:space="preserve">(a) of this </w:t>
      </w:r>
      <w:r>
        <w:t>((</w:t>
      </w:r>
      <w:r>
        <w:rPr>
          <w:strike/>
        </w:rPr>
        <w:t xml:space="preserve">section</w:t>
      </w:r>
      <w:r>
        <w:t>))</w:t>
      </w:r>
      <w:r>
        <w:rPr>
          <w:u w:val="single"/>
        </w:rPr>
        <w:t xml:space="preserve">subsection</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w:t>
      </w:r>
      <w:r>
        <w:t>((</w:t>
      </w:r>
      <w:r>
        <w:rPr>
          <w:strike/>
        </w:rPr>
        <w:t xml:space="preserve">For purposes of this section:</w:t>
      </w:r>
      <w:r>
        <w:t>))</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 </w:t>
      </w:r>
      <w:r>
        <w:rPr>
          <w:u w:val="single"/>
        </w:rPr>
        <w:t xml:space="preserve">and 66.24.630</w:t>
      </w:r>
      <w:r>
        <w:rPr/>
        <w:t xml:space="preserve">.</w:t>
      </w:r>
    </w:p>
    <w:p/>
    <w:p>
      <w:pPr>
        <w:jc w:val="center"/>
      </w:pPr>
      <w:r>
        <w:rPr>
          <w:b/>
        </w:rPr>
        <w:t>--- END ---</w:t>
      </w:r>
    </w:p>
    <w:sectPr>
      <w:pgNumType w:start="1"/>
      <w:footerReference xmlns:r="http://schemas.openxmlformats.org/officeDocument/2006/relationships" r:id="R720b4c1b1afc42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ccae9f64264a2b" /><Relationship Type="http://schemas.openxmlformats.org/officeDocument/2006/relationships/footer" Target="/word/footer.xml" Id="R720b4c1b1afc42ae" /></Relationships>
</file>