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d666fd5da4d7f" /></Relationships>
</file>

<file path=word/document.xml><?xml version="1.0" encoding="utf-8"?>
<w:document xmlns:w="http://schemas.openxmlformats.org/wordprocessingml/2006/main">
  <w:body>
    <w:p>
      <w:r>
        <w:t>H-3386.1</w:t>
      </w:r>
    </w:p>
    <w:p>
      <w:pPr>
        <w:jc w:val="center"/>
      </w:pPr>
      <w:r>
        <w:t>_______________________________________________</w:t>
      </w:r>
    </w:p>
    <w:p/>
    <w:p>
      <w:pPr>
        <w:jc w:val="center"/>
      </w:pPr>
      <w:r>
        <w:rPr>
          <w:b/>
        </w:rPr>
        <w:t>THIRD SUBSTITUTE HOUSE BILL 1999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Carlyle, Kagi, Lytton, Walsh, Sawyer, Pettigrew, Ortiz-Self, Dent, Parker, Caldier, Goodman, and Jinkins)</w:t>
      </w:r>
    </w:p>
    <w:p/>
    <w:p>
      <w:r>
        <w:rPr>
          <w:t xml:space="preserve">READ FIRST TIME 01/19/16.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reenacting and amending RCW 13.50.010;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between youth served by the education coordination program described in this section and those who would have otherwise been eligible for the program, but were not served by the program.</w:t>
      </w:r>
    </w:p>
    <w:p>
      <w:pPr>
        <w:spacing w:before="0" w:after="0" w:line="408" w:lineRule="exact"/>
        <w:ind w:left="0" w:right="0" w:firstLine="576"/>
        <w:jc w:val="left"/>
      </w:pPr>
      <w:r>
        <w:rPr/>
        <w:t xml:space="preserve">(2) To the extent funds are appropriated for this purpose, the department of social and health services must contract with the office of the superintendent of public instruction, which in turn must contract with at least one nongovernmental entity to administer a program of education coordination for youth, kindergarten through twelfth grade, who are dependent pursuant to chapter 13.34 RCW. The contract between the office of the superintendent of public instruction and the nongovernmental entity must be outcome driven with a stated goal of reducing educational barriers to youth success.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(3)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w:t>
      </w:r>
    </w:p>
    <w:p>
      <w:pPr>
        <w:spacing w:before="0" w:after="0" w:line="408" w:lineRule="exact"/>
        <w:ind w:left="0" w:right="0" w:firstLine="576"/>
        <w:jc w:val="left"/>
      </w:pPr>
      <w:r>
        <w:rPr/>
        <w:t xml:space="preserve">(4) The selected nongovernmental entity or entities must provide services to support individual youth upon a referral by a social worker with the department of social and health services, school staff, or a nongovernmental agency. The selected nongovernmental entity or entities must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(5) The selected nongovernmental entity or entities must report outcomes semiannually to the office of the superintendent of public instruction and the department of social and health services beginning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(8) The department of social and health services children's administration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28B.117.060 (as recodified by this act),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the </w:t>
      </w:r>
      <w:r>
        <w:t>((</w:t>
      </w:r>
      <w:r>
        <w:rPr>
          <w:strike/>
        </w:rPr>
        <w:t xml:space="preserve">department of social and health services</w:t>
      </w:r>
      <w:r>
        <w:t>))</w:t>
      </w:r>
      <w:r>
        <w:rPr/>
        <w:t xml:space="preserve"> </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t xml:space="preserve"> </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t xml:space="preserve"> </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t xml:space="preserve"> </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4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t xml:space="preserve"> </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t xml:space="preserve"> </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 beginning on December 1, 2016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sections 3 and 4 of this act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sections 3 and 4 of this act.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and whether these transfers have resulted in better coordinated services for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NumType w:start="1"/>
      <w:footerReference xmlns:r="http://schemas.openxmlformats.org/officeDocument/2006/relationships" r:id="R8cf8c994b5454f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847f465734610" /><Relationship Type="http://schemas.openxmlformats.org/officeDocument/2006/relationships/footer" Target="/word/footer.xml" Id="R8cf8c994b5454fe8" /></Relationships>
</file>