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69688f89741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Rodne, Orwall, Jinkins, Griffey, Fey, Pollet, and Ormsby</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ind w:left="0" w:right="0" w:firstLine="360"/>
        <w:jc w:val="both"/>
      </w:pPr>
      <w:r>
        <w:rPr/>
        <w:t xml:space="preserve">AN ACT Relating to sexual assault protection orders; and amending RCW 7.90.120 and 7.90.121.</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ind w:left="0" w:right="0" w:firstLine="360"/>
        <w:jc w:val="both"/>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ind w:left="0" w:right="0" w:firstLine="360"/>
        <w:jc w:val="both"/>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ind w:left="0" w:right="0" w:firstLine="360"/>
        <w:jc w:val="both"/>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ind w:left="0" w:right="0" w:firstLine="360"/>
        <w:jc w:val="both"/>
      </w:pPr>
      <w:r>
        <w:rPr/>
        <w:t xml:space="preserve">(3) Any sexual assault protection order which would expire on a court holiday shall instead expire at the close of the next court business day.</w:t>
      </w:r>
    </w:p>
    <w:p>
      <w:pPr>
        <w:ind w:left="0" w:right="0" w:firstLine="360"/>
        <w:jc w:val="both"/>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ind w:left="0" w:right="0" w:firstLine="360"/>
        <w:jc w:val="both"/>
      </w:pPr>
      <w:r>
        <w:rPr/>
        <w:t xml:space="preserve">(1) Any ex parte temporary or </w:t>
      </w:r>
      <w:r>
        <w:rPr>
          <w:u w:val="single"/>
        </w:rPr>
        <w:t xml:space="preserve">nonpermanent</w:t>
      </w:r>
      <w:r>
        <w:rPr/>
        <w:t xml:space="preserve"> final sexual assault protection order may be renewed one or more times, as required.</w:t>
      </w:r>
    </w:p>
    <w:p>
      <w:pPr>
        <w:ind w:left="0" w:right="0" w:firstLine="360"/>
        <w:jc w:val="both"/>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ind w:left="0" w:right="0" w:firstLine="360"/>
        <w:jc w:val="both"/>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ind w:left="0" w:right="0" w:firstLine="360"/>
        <w:jc w:val="both"/>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ind w:left="0" w:right="0" w:firstLine="360"/>
        <w:jc w:val="both"/>
      </w:pPr>
      <w:r>
        <w:rPr>
          <w:u w:val="single"/>
        </w:rPr>
        <w:t xml:space="preserve">(c) In determining whether there has been a material change in circumstances, the court may consider the following unweighted factors, and no inference is to be drawn from the order in which the factors are listed:</w:t>
      </w:r>
    </w:p>
    <w:p>
      <w:pPr>
        <w:ind w:left="0" w:right="0" w:firstLine="360"/>
        <w:jc w:val="both"/>
      </w:pPr>
      <w:r>
        <w:rPr>
          <w:u w:val="single"/>
        </w:rPr>
        <w:t xml:space="preserve">(i) Whether the respondent has committed or threatened sexual assault, domestic violence, stalking, or other violent acts since the protection order was entered;</w:t>
      </w:r>
    </w:p>
    <w:p>
      <w:pPr>
        <w:ind w:left="0" w:right="0" w:firstLine="360"/>
        <w:jc w:val="both"/>
      </w:pPr>
      <w:r>
        <w:rPr>
          <w:u w:val="single"/>
        </w:rPr>
        <w:t xml:space="preserve">(ii) Whether the respondent has violated the terms of the protection order and the time that has passed since the entry of the order; </w:t>
      </w:r>
    </w:p>
    <w:p>
      <w:pPr>
        <w:ind w:left="0" w:right="0" w:firstLine="360"/>
        <w:jc w:val="both"/>
      </w:pPr>
      <w:r>
        <w:rPr>
          <w:u w:val="single"/>
        </w:rPr>
        <w:t xml:space="preserve">(iii) Whether the respondent has exhibited suicidal ideation or attempts since the protection order was entered;</w:t>
      </w:r>
    </w:p>
    <w:p>
      <w:pPr>
        <w:ind w:left="0" w:right="0" w:firstLine="360"/>
        <w:jc w:val="both"/>
      </w:pPr>
      <w:r>
        <w:rPr>
          <w:u w:val="single"/>
        </w:rPr>
        <w:t xml:space="preserve">(iv) Whether the respondent has been convicted of criminal activity since the protection order was entered;</w:t>
      </w:r>
    </w:p>
    <w:p>
      <w:pPr>
        <w:ind w:left="0" w:right="0" w:firstLine="360"/>
        <w:jc w:val="both"/>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ind w:left="0" w:right="0" w:firstLine="360"/>
        <w:jc w:val="both"/>
      </w:pPr>
      <w:r>
        <w:rPr>
          <w:u w:val="single"/>
        </w:rPr>
        <w:t xml:space="preserve">(vi) Whether the respondent has a continuing involvement with drug or alcohol abuse, if such abuse was a factor in the protection order;</w:t>
      </w:r>
    </w:p>
    <w:p>
      <w:pPr>
        <w:ind w:left="0" w:right="0" w:firstLine="360"/>
        <w:jc w:val="both"/>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ind w:left="0" w:right="0" w:firstLine="360"/>
        <w:jc w:val="both"/>
      </w:pPr>
      <w:r>
        <w:rPr>
          <w:u w:val="single"/>
        </w:rPr>
        <w:t xml:space="preserve">(viii) Other factors relating to a material change in circumstances.</w:t>
      </w:r>
    </w:p>
    <w:p>
      <w:pPr>
        <w:ind w:left="0" w:right="0" w:firstLine="360"/>
        <w:jc w:val="both"/>
      </w:pPr>
      <w:r>
        <w:rPr/>
        <w:t xml:space="preserve">(4)(a) If the motion is contested, upon receipt of the motion, the court shall order that a hearing be held not later than fourteen days from the date of the order.</w:t>
      </w:r>
    </w:p>
    <w:p>
      <w:pPr>
        <w:ind w:left="0" w:right="0" w:firstLine="360"/>
        <w:jc w:val="both"/>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ind w:left="0" w:right="0" w:firstLine="360"/>
        <w:jc w:val="both"/>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ind w:left="0" w:right="0" w:firstLine="360"/>
        <w:jc w:val="both"/>
      </w:pPr>
      <w:r>
        <w:rPr/>
        <w:t xml:space="preserve">(5) Renewals may be granted only in open court.</w:t>
      </w:r>
    </w:p>
    <w:p/>
    <w:p>
      <w:pPr>
        <w:jc w:val="center"/>
      </w:pPr>
      <w:r>
        <w:rPr>
          <w:b/>
        </w:rPr>
        <w:t>--- END ---</w:t>
      </w:r>
    </w:p>
    <w:sectPr>
      <w:pgNumType w:start="1"/>
      <w:footerReference xmlns:r="http://schemas.openxmlformats.org/officeDocument/2006/relationships" r:id="Ra9aeaf1dbd8440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b5789191940c8" /><Relationship Type="http://schemas.openxmlformats.org/officeDocument/2006/relationships/footer" Target="/word/footer.xml" Id="Ra9aeaf1dbd8440e7" /></Relationships>
</file>