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7e98e9143432a" /></Relationships>
</file>

<file path=word/document.xml><?xml version="1.0" encoding="utf-8"?>
<w:document xmlns:w="http://schemas.openxmlformats.org/wordprocessingml/2006/main">
  <w:body>
    <w:p>
      <w:r>
        <w:t>H-2363.4</w:t>
      </w:r>
    </w:p>
    <w:p>
      <w:pPr>
        <w:jc w:val="center"/>
      </w:pPr>
      <w:r>
        <w:t>_______________________________________________</w:t>
      </w:r>
    </w:p>
    <w:p/>
    <w:p>
      <w:pPr>
        <w:jc w:val="center"/>
      </w:pPr>
      <w:r>
        <w:rPr>
          <w:b/>
        </w:rPr>
        <w:t>SUBSTITUTE HOUSE BILL 2087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Fey and Muri)</w:t>
      </w:r>
    </w:p>
    <w:p/>
    <w:p>
      <w:r>
        <w:rPr>
          <w:t xml:space="preserve">READ FIRST TIME 04/07/15.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alternative fuel vehicles, including electric vehicles and electric vehicle charging infrastructure; amending RCW 82.08.809, 82.12.809, and 46.17.323; reenacting and amending RCW 43.84.092 and 43.84.092; adding a new section to chapter 47.04 RCW; adding a new section to chapter 82.44 RCW; creating new sections; providing effective dates;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electric vehicles are an important part of moving the state away from carbon-based fuel sources. The legislature further finds that as the number of electric vehicles in the state grows, charging infrastructure networks become more financially viable. Therefore, the legislature intends to incentivize the purchase of electric vehicles and to support early development of charging station networks in order to make positive impacts on the electric vehicle and charging station markets as quickly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3 and 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3 and 4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w:t>
      </w:r>
      <w:r>
        <w:rPr>
          <w:u w:val="single"/>
        </w:rPr>
        <w:t xml:space="preserve">Except as provided in subsection (4) of this section, t</w:t>
      </w:r>
      <w:r>
        <w:rPr/>
        <w:t xml:space="preserve">he tax levied by RCW 82.08.020 does not apply to sales of new passenger cars, light duty trucks, and medium duty passenger vehicles, which </w:t>
      </w:r>
      <w:r>
        <w:rPr>
          <w:u w:val="single"/>
        </w:rPr>
        <w:t xml:space="preserve">(i)</w:t>
      </w:r>
      <w:r>
        <w:rPr/>
        <w:t xml:space="preserve"> are exclusively powered by a clean alternative fuel </w:t>
      </w:r>
      <w:r>
        <w:rPr>
          <w:u w:val="single"/>
        </w:rPr>
        <w:t xml:space="preserve">or (ii)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rPr/>
        <w:t xml:space="preserve">(b) </w:t>
      </w:r>
      <w:r>
        <w:rPr>
          <w:u w:val="single"/>
        </w:rPr>
        <w:t xml:space="preserve">Except as provided in subsection (4) of this section, t</w:t>
      </w:r>
      <w:r>
        <w:rPr/>
        <w:t xml:space="preserve">he tax levied by RCW 82.08.020 does not apply to sales of qualifying used passenger cars, light duty trucks, and medium duty passenger vehicles</w:t>
      </w:r>
      <w:r>
        <w:t>((</w:t>
      </w:r>
      <w:r>
        <w:rPr>
          <w:strike/>
        </w:rPr>
        <w:t xml:space="preserve">, which were modified after their initial purchase, with an EPA certified conversion to be exclusively powered by a clean alternative fuel</w:t>
      </w:r>
      <w:r>
        <w:t>))</w:t>
      </w:r>
      <w:r>
        <w:rPr/>
        <w:t xml:space="preserve">. "Qualifying used passenger cars, light duty trucks, and medium duty passenger vehicles" means vehicles that </w:t>
      </w:r>
      <w:r>
        <w:rPr>
          <w:u w:val="single"/>
        </w:rPr>
        <w:t xml:space="preserve">are</w:t>
      </w:r>
      <w:r>
        <w:rPr/>
        <w:t xml:space="preserve">:</w:t>
      </w:r>
    </w:p>
    <w:p>
      <w:pPr>
        <w:spacing w:before="0" w:after="0" w:line="408" w:lineRule="exact"/>
        <w:ind w:left="0" w:right="0" w:firstLine="576"/>
        <w:jc w:val="left"/>
      </w:pPr>
      <w:r>
        <w:rPr/>
        <w:t xml:space="preserve">(i) </w:t>
      </w:r>
      <w:r>
        <w:t>((</w:t>
      </w:r>
      <w:r>
        <w:rPr>
          <w:strike/>
        </w:rPr>
        <w:t xml:space="preserve">Are part of a fleet of at least five vehicles, all owned by the same person;</w:t>
      </w:r>
    </w:p>
    <w:p>
      <w:pPr>
        <w:spacing w:before="0" w:after="0" w:line="408" w:lineRule="exact"/>
        <w:ind w:left="0" w:right="0" w:firstLine="576"/>
        <w:jc w:val="left"/>
      </w:pPr>
      <w:r>
        <w:rPr>
          <w:strike/>
        </w:rPr>
        <w:t xml:space="preserve">(ii) Have an odometer reading of less than thirty thousand miles;</w:t>
      </w:r>
    </w:p>
    <w:p>
      <w:pPr>
        <w:spacing w:before="0" w:after="0" w:line="408" w:lineRule="exact"/>
        <w:ind w:left="0" w:right="0" w:firstLine="576"/>
        <w:jc w:val="left"/>
      </w:pPr>
      <w:r>
        <w:rPr>
          <w:strike/>
        </w:rPr>
        <w:t xml:space="preserve">(iii) Are less than two years past their original date of manufacture; and</w:t>
      </w:r>
    </w:p>
    <w:p>
      <w:pPr>
        <w:spacing w:before="0" w:after="0" w:line="408" w:lineRule="exact"/>
        <w:ind w:left="0" w:right="0" w:firstLine="576"/>
        <w:jc w:val="left"/>
      </w:pPr>
      <w:r>
        <w:rPr>
          <w:strike/>
        </w:rPr>
        <w:t xml:space="preserve">(iv) Are being sold for the first time after modification.</w:t>
      </w:r>
    </w:p>
    <w:p>
      <w:pPr>
        <w:spacing w:before="0" w:after="0" w:line="408" w:lineRule="exact"/>
        <w:ind w:left="0" w:right="0" w:firstLine="576"/>
        <w:jc w:val="left"/>
      </w:pPr>
      <w:r>
        <w:rPr>
          <w:strike/>
        </w:rPr>
        <w:t xml:space="preserve">(2) The seller must keep records necessary for the department to verify eligibility under this section</w:t>
      </w:r>
      <w:r>
        <w:t>))</w:t>
      </w:r>
      <w:r>
        <w:rPr/>
        <w:t xml:space="preserve"> </w:t>
      </w:r>
      <w:r>
        <w:rPr>
          <w:u w:val="single"/>
        </w:rPr>
        <w:t xml:space="preserve">Exclusively powered by a clean alternative fuel or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u w:val="single"/>
        </w:rPr>
        <w:t xml:space="preserve">(ii) Less than four years past their original date of manufacture</w:t>
      </w:r>
      <w:r>
        <w:rPr/>
        <w:t xml:space="preserve">.</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w:t>
      </w:r>
      <w:r>
        <w:rPr>
          <w:u w:val="single"/>
        </w:rPr>
        <w:t xml:space="preserve">(a) A sale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u w:val="single"/>
        </w:rPr>
        <w:t xml:space="preserve">(b) For leased vehicles, a lease is not exempt from sales tax as described under subsection (1) of this section if the fair market value of the vehicle being leased exceeds thirty-five thousand dollars.</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2015</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w:t>
      </w:r>
      <w:r>
        <w:rPr>
          <w:u w:val="single"/>
        </w:rPr>
        <w:t xml:space="preserve">Except as provided in subsection (4) of this section, u</w:t>
      </w:r>
      <w:r>
        <w:rPr/>
        <w:t xml:space="preserve">ntil July 1, </w:t>
      </w:r>
      <w:r>
        <w:t>((</w:t>
      </w:r>
      <w:r>
        <w:rPr>
          <w:strike/>
        </w:rPr>
        <w:t xml:space="preserve">2015</w:t>
      </w:r>
      <w:r>
        <w:t>))</w:t>
      </w:r>
      <w:r>
        <w:rPr/>
        <w:t xml:space="preserve"> </w:t>
      </w:r>
      <w:r>
        <w:rPr>
          <w:u w:val="single"/>
        </w:rPr>
        <w:t xml:space="preserve">2019</w:t>
      </w:r>
      <w:r>
        <w:rPr/>
        <w:t xml:space="preserve">, the provisions of this chapter do not apply in respect to the use of new passenger cars, light duty trucks, and medium duty passenger vehicles, which </w:t>
      </w:r>
      <w:r>
        <w:rPr>
          <w:u w:val="single"/>
        </w:rPr>
        <w:t xml:space="preserve">(i)</w:t>
      </w:r>
      <w:r>
        <w:rPr/>
        <w:t xml:space="preserve"> are exclusively powered by a clean alternative fuel </w:t>
      </w:r>
      <w:r>
        <w:rPr>
          <w:u w:val="single"/>
        </w:rPr>
        <w:t xml:space="preserve">or (ii)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rPr/>
        <w:t xml:space="preserve">(b) </w:t>
      </w:r>
      <w:r>
        <w:rPr>
          <w:u w:val="single"/>
        </w:rPr>
        <w:t xml:space="preserve">Except as provided in subsection (4) of this section, u</w:t>
      </w:r>
      <w:r>
        <w:rPr/>
        <w:t xml:space="preserve">ntil July 1, </w:t>
      </w:r>
      <w:r>
        <w:t>((</w:t>
      </w:r>
      <w:r>
        <w:rPr>
          <w:strike/>
        </w:rPr>
        <w:t xml:space="preserve">2015</w:t>
      </w:r>
      <w:r>
        <w:t>))</w:t>
      </w:r>
      <w:r>
        <w:rPr/>
        <w:t xml:space="preserve"> </w:t>
      </w:r>
      <w:r>
        <w:rPr>
          <w:u w:val="single"/>
        </w:rPr>
        <w:t xml:space="preserve">2019</w:t>
      </w:r>
      <w:r>
        <w:rPr/>
        <w:t xml:space="preserve">, the provisions of this chapter do not apply to the use of qualifying used passenger cars, light duty trucks, and medium duty passenger vehicles</w:t>
      </w:r>
      <w:r>
        <w:t>((</w:t>
      </w:r>
      <w:r>
        <w:rPr>
          <w:strike/>
        </w:rPr>
        <w:t xml:space="preserve">, which were modified after their initial purchase with an EPA certified conversion to be exclusively powered by a clean alternative fuel</w:t>
      </w:r>
      <w:r>
        <w:t>))</w:t>
      </w:r>
      <w:r>
        <w:rPr/>
        <w:t xml:space="preserve">.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the use, on or after July 1, </w:t>
      </w:r>
      <w:r>
        <w:t>((</w:t>
      </w:r>
      <w:r>
        <w:rPr>
          <w:strike/>
        </w:rPr>
        <w:t xml:space="preserve">2015</w:t>
      </w:r>
      <w:r>
        <w:t>))</w:t>
      </w:r>
      <w:r>
        <w:rPr/>
        <w:t xml:space="preserve"> </w:t>
      </w:r>
      <w:r>
        <w:rPr>
          <w:u w:val="single"/>
        </w:rPr>
        <w:t xml:space="preserve">2019</w:t>
      </w:r>
      <w:r>
        <w:rPr/>
        <w:t xml:space="preserve">, of a passenger car, light duty truck, or medium duty passenger vehicle exclusively powered by a clean alternative fuel, if the taxpayer used such vehicle in this state before July 1, </w:t>
      </w:r>
      <w:r>
        <w:t>((</w:t>
      </w:r>
      <w:r>
        <w:rPr>
          <w:strike/>
        </w:rPr>
        <w:t xml:space="preserve">2015</w:t>
      </w:r>
      <w:r>
        <w:t>))</w:t>
      </w:r>
      <w:r>
        <w:rPr/>
        <w:t xml:space="preserve"> </w:t>
      </w:r>
      <w:r>
        <w:rPr>
          <w:u w:val="single"/>
        </w:rPr>
        <w:t xml:space="preserve">2019</w:t>
      </w:r>
      <w:r>
        <w:rPr/>
        <w:t xml:space="preserve">, and the use was exempt under this section from the tax imposed in RCW 82.12.020.</w:t>
      </w:r>
    </w:p>
    <w:p>
      <w:pPr>
        <w:spacing w:before="0" w:after="0" w:line="408" w:lineRule="exact"/>
        <w:ind w:left="0" w:right="0" w:firstLine="576"/>
        <w:jc w:val="left"/>
      </w:pPr>
      <w:r>
        <w:rPr>
          <w:u w:val="single"/>
        </w:rPr>
        <w:t xml:space="preserve">(4) A vehicle is not exempt from use tax as described under subsection (1) of this section if the fair market value of the vehicle exceeds thirty-five thousand dollars at the time the tax is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department's public-private partnership office must develop a pilot program to support the deployment of electric vehicle charging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Alternatively, a bidder may propose a corridor in which the bidder proposes to install electric vehicle infrastructure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electric vehicle drivers and will address an existing gap in the state's electric vehicle charging station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charging infrastructure account created in section 6 of this act.</w:t>
      </w:r>
    </w:p>
    <w:p>
      <w:pPr>
        <w:spacing w:before="0" w:after="0" w:line="408" w:lineRule="exact"/>
        <w:ind w:left="0" w:right="0" w:firstLine="576"/>
        <w:jc w:val="left"/>
      </w:pPr>
      <w:r>
        <w:rPr/>
        <w:t xml:space="preserve">(c) Any project selected for support under this section is eligible for only one grant or loan as a part of the pilot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the pilot program, discuss how to develop the partnerships among the private sector partners that may receive indirect value, and any other issues relating to the implementation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electric vehicle charging infrastructure account is created in the transportation infrastructure account. Proceeds from the electric vehicle fee collected under RCW 46.17.323(4) and the principal and interest payments made on loans from the account must be deposited into the account. Expenditures from the account may be used only for the purposes specified in section 5 of this act.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t>((</w:t>
      </w:r>
      <w:r>
        <w:rPr>
          <w:strike/>
        </w:rPr>
        <w:t xml:space="preserve">an electric</w:t>
      </w:r>
      <w:r>
        <w:t>))</w:t>
      </w:r>
      <w:r>
        <w:rPr/>
        <w:t xml:space="preserve"> </w:t>
      </w:r>
      <w:r>
        <w:rPr>
          <w:u w:val="single"/>
        </w:rPr>
        <w:t xml:space="preserve">a</w:t>
      </w:r>
      <w:r>
        <w:rPr/>
        <w:t xml:space="preserve"> vehicle that </w:t>
      </w:r>
      <w:r>
        <w:rPr>
          <w:u w:val="single"/>
        </w:rPr>
        <w:t xml:space="preserve">both (a)</w:t>
      </w:r>
      <w:r>
        <w:rPr/>
        <w:t xml:space="preserve"> uses </w:t>
      </w:r>
      <w:r>
        <w:t>((</w:t>
      </w:r>
      <w:r>
        <w:rPr>
          <w:strike/>
        </w:rPr>
        <w:t xml:space="preserve">propulsion units powered solely by</w:t>
      </w:r>
      <w:r>
        <w:t>))</w:t>
      </w:r>
      <w:r>
        <w:rPr/>
        <w:t xml:space="preserve"> </w:t>
      </w:r>
      <w:r>
        <w:rPr>
          <w:u w:val="single"/>
        </w:rPr>
        <w:t xml:space="preserve">at least one method of propulsion that is capable of being reenergized by an external source of</w:t>
      </w:r>
      <w:r>
        <w:rPr/>
        <w:t xml:space="preserve"> electricity </w:t>
      </w:r>
      <w:r>
        <w:rPr>
          <w:u w:val="single"/>
        </w:rPr>
        <w:t xml:space="preserve">and (b) is capable of traveling at least thirty miles using only battery power</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w:t>
      </w:r>
      <w:r>
        <w:rPr/>
        <w:noBreakHyphen/>
      </w:r>
      <w:r>
        <w:rPr/>
        <w:t xml:space="preserve">five miles per hour; and</w:t>
      </w:r>
    </w:p>
    <w:p>
      <w:pPr>
        <w:spacing w:before="0" w:after="0" w:line="408" w:lineRule="exact"/>
        <w:ind w:left="0" w:right="0" w:firstLine="576"/>
        <w:jc w:val="left"/>
      </w:pPr>
      <w:r>
        <w:rPr/>
        <w:t xml:space="preserve">(b) An annual vehicle registration renewal that is due on or after February 1, 2013.</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w:t>
      </w:r>
      <w:r>
        <w:rPr>
          <w:u w:val="single"/>
        </w:rPr>
        <w:t xml:space="preserve">and a funding source to assist in the development of the electric vehicle charging infrastructure</w:t>
      </w:r>
      <w:r>
        <w:rPr/>
        <w:t xml:space="preserve">,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r>
        <w:rPr>
          <w:u w:val="single"/>
        </w:rPr>
        <w:t xml:space="preserve">.</w:t>
      </w:r>
    </w:p>
    <w:p>
      <w:pPr>
        <w:spacing w:before="0" w:after="0" w:line="408" w:lineRule="exact"/>
        <w:ind w:left="0" w:right="0" w:firstLine="576"/>
        <w:jc w:val="left"/>
      </w:pPr>
      <w:r>
        <w:rPr>
          <w:u w:val="single"/>
        </w:rPr>
        <w:t xml:space="preserve">(b) The fee required under (a) of this subsection must be distributed as follows:</w:t>
      </w:r>
    </w:p>
    <w:p>
      <w:pPr>
        <w:spacing w:before="0" w:after="0" w:line="408" w:lineRule="exact"/>
        <w:ind w:left="0" w:right="0" w:firstLine="576"/>
        <w:jc w:val="left"/>
      </w:pPr>
      <w:r>
        <w:rPr>
          <w:u w:val="single"/>
        </w:rPr>
        <w:t xml:space="preserve">(i) The first one hundred thousand dollars raised by the fee in each year must be deposited into the multimodal transportation account created in RCW 47.66.070 to repay the transfer made under section 8 of this act until a total of one million dollars is deposited into the multimodal transportation account; and</w:t>
      </w:r>
    </w:p>
    <w:p>
      <w:pPr>
        <w:spacing w:before="0" w:after="0" w:line="408" w:lineRule="exact"/>
        <w:ind w:left="0" w:right="0" w:firstLine="576"/>
        <w:jc w:val="left"/>
      </w:pPr>
      <w:r>
        <w:rPr>
          <w:u w:val="single"/>
        </w:rPr>
        <w:t xml:space="preserve">(ii) Any remaining amounts must be deposited into the electric vehicle charging infrastructure account created in section 6 of this act.</w:t>
      </w:r>
    </w:p>
    <w:p>
      <w:pPr>
        <w:spacing w:before="0" w:after="0" w:line="408" w:lineRule="exact"/>
        <w:ind w:left="0" w:right="0" w:firstLine="576"/>
        <w:jc w:val="left"/>
      </w:pPr>
      <w:r>
        <w:rPr>
          <w:u w:val="single"/>
        </w:rPr>
        <w:t xml:space="preserve">(c) This subsection (4)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31, 2015, the state treasurer must transfer one million dollars from the multimodal transportation account created in RCW 47.66.070 to the electric vehicle charging infrastructure account created in section 6 of this act.</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6, 7, and 10 of this act,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b8f1111ff1c48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0eaf410764632" /><Relationship Type="http://schemas.openxmlformats.org/officeDocument/2006/relationships/footer" Target="/word/footer.xml" Id="R6b8f1111ff1c48ba" /></Relationships>
</file>