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0ec0a6ce14c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Nealey, Peterson, Fey, Muri, Ryu, Walsh, and Springer</w:t>
      </w:r>
    </w:p>
    <w:p/>
    <w:p>
      <w:r>
        <w:rPr>
          <w:t xml:space="preserve">Read first time 02/16/15.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amending RCW 82.46.010 and 43.110.030; adding new sections to chapter 82.46 RCW; and adding a new section to chapter 64.06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w:t>
      </w:r>
      <w:r>
        <w:t>((</w:t>
      </w:r>
      <w:r>
        <w:rPr>
          <w:strike/>
        </w:rPr>
        <w:t xml:space="preserve">As used in this section,</w:t>
      </w:r>
      <w:r>
        <w:t>))</w:t>
      </w:r>
      <w:r>
        <w:rPr/>
        <w:t xml:space="preserve"> </w:t>
      </w:r>
      <w:r>
        <w:rPr>
          <w:u w:val="single"/>
        </w:rPr>
        <w:t xml:space="preserve">The definitions in this subsection (6)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t xml:space="preserve"> </w:t>
      </w:r>
      <w:r>
        <w:rPr>
          <w:u w:val="single"/>
        </w:rPr>
        <w:t xml:space="preserve">facilities;</w:t>
      </w:r>
      <w:r>
        <w:rPr/>
        <w:t xml:space="preserve"> judicial facilities; river </w:t>
      </w:r>
      <w:r>
        <w:t>((</w:t>
      </w:r>
      <w:r>
        <w:rPr>
          <w:strike/>
        </w:rPr>
        <w:t xml:space="preserve">and/or</w:t>
      </w:r>
      <w:r>
        <w:t>))</w:t>
      </w:r>
      <w:r>
        <w:rPr/>
        <w:t xml:space="preserve"> </w:t>
      </w:r>
      <w:r>
        <w:rPr>
          <w:u w:val="single"/>
        </w:rPr>
        <w:t xml:space="preserve">flood control projects;</w:t>
      </w:r>
      <w:r>
        <w:rPr/>
        <w:t xml:space="preserve"> waterway flood control projects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 the ordinance, resolution, or policy is posted electronically in accordance with RCW 43.110.030(2)(e).</w:t>
      </w:r>
    </w:p>
    <w:p>
      <w:pPr>
        <w:spacing w:before="0" w:after="0" w:line="408" w:lineRule="exact"/>
        <w:ind w:left="0" w:right="0" w:firstLine="576"/>
        <w:jc w:val="left"/>
      </w:pPr>
      <w:r>
        <w:rPr/>
        <w:t xml:space="preserve">(2) If, prior to the effective date of this section, a city or county adopted an ordinance, resolution, or policy that imposes a requirement on landlords or sellers of real property, or their agents, to provide information to a buyer or tenant pertaining to the subject property or the surrounding area, the city or county must cause the ordinance, resolution, or policy to be posted electronically in accordance with RCW 43.110.030(2)(e) within ninety days of the effective date of this section, or the requirement shall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2012 2nd sp.s. c 5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 </w:t>
      </w:r>
      <w:r>
        <w:t>((</w:t>
      </w:r>
      <w:r>
        <w:rPr>
          <w:strike/>
        </w:rPr>
        <w:t xml:space="preserve">and</w:t>
      </w:r>
      <w:r>
        <w: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w:t>
      </w:r>
      <w:r>
        <w:rPr>
          <w:u w:val="single"/>
        </w:rPr>
        <w:t xml:space="preserve">; and</w:t>
      </w:r>
    </w:p>
    <w:p>
      <w:pPr>
        <w:spacing w:before="0" w:after="0" w:line="408" w:lineRule="exact"/>
        <w:ind w:left="0" w:right="0" w:firstLine="576"/>
        <w:jc w:val="left"/>
      </w:pPr>
      <w:r>
        <w:rPr>
          <w:u w:val="single"/>
        </w:rPr>
        <w:t xml:space="preserve">(e) Providing a list of all requirements imposed by all cities, towns, and counties on landlords or sellers of real property to provide information to a buyer or tenant pertaining to the subject property or the surrounding area. The list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section 4 of this act</w:t>
      </w:r>
      <w:r>
        <w:rPr/>
        <w:t xml:space="preserve">.</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
      <w:pPr>
        <w:jc w:val="center"/>
      </w:pPr>
      <w:r>
        <w:rPr>
          <w:b/>
        </w:rPr>
        <w:t>--- END ---</w:t>
      </w:r>
    </w:p>
    <w:sectPr>
      <w:pgNumType w:start="1"/>
      <w:footerReference xmlns:r="http://schemas.openxmlformats.org/officeDocument/2006/relationships" r:id="R1dfd5d7e9a0a42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e7959431141d9" /><Relationship Type="http://schemas.openxmlformats.org/officeDocument/2006/relationships/footer" Target="/word/footer.xml" Id="R1dfd5d7e9a0a4267" /></Relationships>
</file>