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80a89d8a5743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Schmick, and Bergquist</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four hundred </w:t>
      </w:r>
      <w:r>
        <w:t>((</w:t>
      </w:r>
      <w:r>
        <w:rPr>
          <w:strike/>
        </w:rPr>
        <w:t xml:space="preserve">forty-six million three hundred thirty-eight thousand</w:t>
      </w:r>
      <w:r>
        <w:t>))</w:t>
      </w:r>
      <w:r>
        <w:rPr/>
        <w:t xml:space="preserve"> </w:t>
      </w:r>
      <w:r>
        <w:rPr>
          <w:u w:val="single"/>
        </w:rPr>
        <w:t xml:space="preserve">eighty-nine million</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forty-five</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 million four hundred fifty-five thousand dollars in each state fiscal year 2016 through</w:t>
      </w:r>
      <w:r>
        <w:rPr/>
        <w:t xml:space="preserve"> 2019;</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f971b79751d4c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2ab2ae93f740b4" /><Relationship Type="http://schemas.openxmlformats.org/officeDocument/2006/relationships/footer" Target="/word/footer.xml" Id="Raf971b79751d4c56" /></Relationships>
</file>