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4eaead4f524570" /></Relationships>
</file>

<file path=word/document.xml><?xml version="1.0" encoding="utf-8"?>
<w:document xmlns:w="http://schemas.openxmlformats.org/wordprocessingml/2006/main">
  <w:body>
    <w:p>
      <w:r>
        <w:t>H-1137.2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2216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Representatives Taylor, G. Hunt, Shea, Scott, and Young</w:t>
      </w:r>
    </w:p>
    <w:p/>
    <w:p>
      <w:r>
        <w:rPr>
          <w:t xml:space="preserve">Read first time 03/27/15.  </w:t>
        </w:rPr>
      </w:r>
      <w:r>
        <w:rPr>
          <w:t xml:space="preserve">Referred to Committee on Public Safety.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requiring a signed search warrant prior to deploying a radar device; and adding a new section to chapter 10.79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10</w:t>
      </w:r>
      <w:r>
        <w:rPr/>
        <w:t xml:space="preserve">.</w:t>
      </w:r>
      <w:r>
        <w:t xml:space="preserve">79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 magistrate must affix his or her signature to a search warrant before any law enforcement agency deploys a radar device that is used to detect human presence inside a residence.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5fa5963f7858404d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2216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98bfc640cb4c48" /><Relationship Type="http://schemas.openxmlformats.org/officeDocument/2006/relationships/footer" Target="/word/footer.xml" Id="R5fa5963f7858404d" /></Relationships>
</file>