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0ff145aba04011" /></Relationships>
</file>

<file path=word/document.xml><?xml version="1.0" encoding="utf-8"?>
<w:document xmlns:w="http://schemas.openxmlformats.org/wordprocessingml/2006/main">
  <w:body>
    <w:p>
      <w:r>
        <w:t>H-2766.1</w:t>
      </w:r>
    </w:p>
    <w:p>
      <w:pPr>
        <w:jc w:val="center"/>
      </w:pPr>
      <w:r>
        <w:t>_______________________________________________</w:t>
      </w:r>
    </w:p>
    <w:p/>
    <w:p>
      <w:pPr>
        <w:jc w:val="center"/>
      </w:pPr>
      <w:r>
        <w:rPr>
          <w:b/>
        </w:rPr>
        <w:t>HOUSE BILL 2281</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 Klippert</w:t>
      </w:r>
    </w:p>
    <w:p/>
    <w:p>
      <w:r>
        <w:rPr>
          <w:t xml:space="preserve">Read first time 06/27/15.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punishment for vehicular homicide; amending RCW 46.61.520 and 9.94A.533;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520</w:t>
      </w:r>
      <w:r>
        <w:rPr/>
        <w:t xml:space="preserve"> and 1998 c 211 s 2 are each amended to read as follows:</w:t>
      </w:r>
    </w:p>
    <w:p>
      <w:pPr>
        <w:spacing w:before="0" w:after="0" w:line="408" w:lineRule="exact"/>
        <w:ind w:left="0" w:right="0" w:firstLine="576"/>
        <w:jc w:val="left"/>
      </w:pPr>
      <w:r>
        <w:rPr/>
        <w:t xml:space="preserve">(1) When the death of any person ensues within three years as a proximate result of injury proximately caused by the driving of any vehicle by any person, the driver is guilty of vehicular homicide if the driver was operating a motor vehicle:</w:t>
      </w:r>
    </w:p>
    <w:p>
      <w:pPr>
        <w:spacing w:before="0" w:after="0" w:line="408" w:lineRule="exact"/>
        <w:ind w:left="0" w:right="0" w:firstLine="576"/>
        <w:jc w:val="left"/>
      </w:pPr>
      <w:r>
        <w:rPr/>
        <w:t xml:space="preserve">(a) While under the influence of intoxicating liquor or any drug, as defined by RCW 46.61.502; or</w:t>
      </w:r>
    </w:p>
    <w:p>
      <w:pPr>
        <w:spacing w:before="0" w:after="0" w:line="408" w:lineRule="exact"/>
        <w:ind w:left="0" w:right="0" w:firstLine="576"/>
        <w:jc w:val="left"/>
      </w:pPr>
      <w:r>
        <w:rPr/>
        <w:t xml:space="preserve">(b) In a reckless manner; or</w:t>
      </w:r>
    </w:p>
    <w:p>
      <w:pPr>
        <w:spacing w:before="0" w:after="0" w:line="408" w:lineRule="exact"/>
        <w:ind w:left="0" w:right="0" w:firstLine="576"/>
        <w:jc w:val="left"/>
      </w:pPr>
      <w:r>
        <w:rPr/>
        <w:t xml:space="preserve">(c) With disregard for the safety of others.</w:t>
      </w:r>
    </w:p>
    <w:p>
      <w:pPr>
        <w:spacing w:before="0" w:after="0" w:line="408" w:lineRule="exact"/>
        <w:ind w:left="0" w:right="0" w:firstLine="576"/>
        <w:jc w:val="left"/>
      </w:pPr>
      <w:r>
        <w:rPr/>
        <w:t xml:space="preserve">(2) Vehicular homicide is a class A felony punishable under chapter 9A.20 RCW, except that, for a conviction under subsection (1)(a) of this section, an additional ((</w:t>
      </w:r>
      <w:r>
        <w:rPr>
          <w:strike/>
        </w:rPr>
        <w:t xml:space="preserve">two</w:t>
      </w:r>
      <w:r>
        <w:rPr/>
        <w:t xml:space="preserve">)) </w:t>
      </w:r>
      <w:r>
        <w:rPr>
          <w:u w:val="single"/>
        </w:rPr>
        <w:t xml:space="preserve">ten</w:t>
      </w:r>
      <w:r>
        <w:rPr/>
        <w:t xml:space="preserve"> years shall be added to the sentence for each prior ((</w:t>
      </w:r>
      <w:r>
        <w:rPr>
          <w:strike/>
        </w:rPr>
        <w:t xml:space="preserve">offense as defined in RCW 46.61.5055</w:t>
      </w:r>
      <w:r>
        <w:rPr/>
        <w:t xml:space="preserve">)) </w:t>
      </w:r>
      <w:r>
        <w:rPr>
          <w:u w:val="single"/>
        </w:rPr>
        <w:t xml:space="preserve">vehicular homicide conviction pursuant to subsection (1)(a) of this section</w:t>
      </w:r>
      <w:r>
        <w:rPr/>
        <w:t xml:space="preserve">. </w:t>
      </w:r>
      <w:r>
        <w:rPr>
          <w:u w:val="single"/>
        </w:rPr>
        <w:t xml:space="preserve">Notwithstanding any other provision of law, the additional ten years imposed under this section are mandatory, shall be served in total confinement, and shall run consecutively to all other sentencing provisions for all offenses sentenced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w:t>
      </w:r>
      <w:r>
        <w:rPr>
          <w:strike/>
        </w:rPr>
        <w:t xml:space="preserve">two</w:t>
      </w:r>
      <w:r>
        <w:rPr/>
        <w:t xml:space="preserve">)) </w:t>
      </w:r>
      <w:r>
        <w:rPr>
          <w:u w:val="single"/>
        </w:rPr>
        <w:t xml:space="preserve">ten</w:t>
      </w:r>
      <w:r>
        <w:rPr/>
        <w:t xml:space="preserve"> years shall be added to the standard sentence range for vehicular homicide committed while under the influence of intoxicating liquor or any drug as defined by RCW 46.61.502 for each prior ((</w:t>
      </w:r>
      <w:r>
        <w:rPr>
          <w:strike/>
        </w:rPr>
        <w:t xml:space="preserve">offense as defined in RCW 46.61.5055</w:t>
      </w:r>
      <w:r>
        <w:rPr/>
        <w:t xml:space="preserve">)) </w:t>
      </w:r>
      <w:r>
        <w:rPr>
          <w:u w:val="single"/>
        </w:rPr>
        <w:t xml:space="preserve">vehicular homicide conviction pursuant to RCW 46.61.520(1)(a)</w:t>
      </w:r>
      <w:r>
        <w:rPr/>
        <w:t xml:space="preserve">.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
      <w:pPr>
        <w:jc w:val="center"/>
      </w:pPr>
      <w:r>
        <w:rPr>
          <w:b/>
        </w:rPr>
        <w:t>--- END ---</w:t>
      </w:r>
    </w:p>
    <w:sectPr>
      <w:pgNumType w:start="1"/>
      <w:footerReference xmlns:r="http://schemas.openxmlformats.org/officeDocument/2006/relationships" r:id="R3ce07c4c48c741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de297ce6624311" /><Relationship Type="http://schemas.openxmlformats.org/officeDocument/2006/relationships/footer" Target="/word/footer.xml" Id="R3ce07c4c48c7416f" /></Relationships>
</file>