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2685a6ce34eac" /></Relationships>
</file>

<file path=word/document.xml><?xml version="1.0" encoding="utf-8"?>
<w:document xmlns:w="http://schemas.openxmlformats.org/wordprocessingml/2006/main">
  <w:body>
    <w:p>
      <w:r>
        <w:t>H-2931.1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treasurer to transfer budget stabilization account deposits that are attributable to extraordinary revenue growth in the 2013-2015, 2015-2017, and 2017-2019 fiscal biennia; adding a new section to chapter 43.79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June 30, 2015, the treasurer shall transfer into the state general fund the entire budget stabilization account deposit for the 2013-2015 fiscal biennium that is attributable to extraordinary revenue growth.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2015-2017 fiscal biennium, the treasurer shall transfer into the state general fund the entire budget stabilization account deposit for the 2015-2017 fiscal biennium that is attributable to extraordinary revenue growth.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During the 2017-2019 fiscal biennium, the treasurer shall transfer into the state general fund the entire budget stabilization account deposit for the 2017-2019 fiscal biennium that is attributable to extraordinary revenue growth.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RCW 43.88.055(4), the transfers in this section do not alter the requirement to balance in ensuing biennia.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fdb92644db2455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17ceb16374706" /><Relationship Type="http://schemas.openxmlformats.org/officeDocument/2006/relationships/footer" Target="/word/footer.xml" Id="R7fdb92644db24557" /></Relationships>
</file>