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bcb8bfe97447bc" /></Relationships>
</file>

<file path=word/document.xml><?xml version="1.0" encoding="utf-8"?>
<w:document xmlns:w="http://schemas.openxmlformats.org/wordprocessingml/2006/main">
  <w:body>
    <w:p>
      <w:r>
        <w:t>H-3582.1</w:t>
      </w:r>
    </w:p>
    <w:p>
      <w:pPr>
        <w:jc w:val="center"/>
      </w:pPr>
      <w:r>
        <w:t>_______________________________________________</w:t>
      </w:r>
    </w:p>
    <w:p/>
    <w:p>
      <w:pPr>
        <w:jc w:val="center"/>
      </w:pPr>
      <w:r>
        <w:rPr>
          <w:b/>
        </w:rPr>
        <w:t>SUBSTITUTE HOUSE BILL 2300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State Government (originally sponsored by Representatives Moeller, S. Hunt, Caldier, Appleton, Jinkins, and Tharinger)</w:t>
      </w:r>
    </w:p>
    <w:p/>
    <w:p>
      <w:r>
        <w:rPr>
          <w:t xml:space="preserve">READ FIRST TIME 01/18/16.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personal information of a person acting as a guardian ad litem; and amending RCW 42.56.250.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2014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and emergency contact information of dependents of employees or volunteers of a public agency. For purposes of this subsection, "employees" includes independent provider home care workers as defined in RCW 74.39A.240</w:t>
      </w:r>
      <w:r>
        <w:rPr>
          <w:u w:val="single"/>
        </w:rPr>
        <w:t xml:space="preserve">, and guardians ad litem governed under chapter 11.88, 13.34, or 26.12 RCW</w:t>
      </w:r>
      <w:r>
        <w:rPr/>
        <w:t xml:space="preserve">;</w:t>
      </w:r>
    </w:p>
    <w:p>
      <w:pPr>
        <w:spacing w:before="0" w:after="0" w:line="408" w:lineRule="exact"/>
        <w:ind w:left="0" w:right="0" w:firstLine="576"/>
        <w:jc w:val="left"/>
      </w:pPr>
      <w:r>
        <w:rPr/>
        <w:t xml:space="preserve">(4)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(5)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(6) Criminal history records checks for board staff finalist candidates conducted pursuant to RCW 43.33A.025;</w:t>
      </w:r>
    </w:p>
    <w:p>
      <w:pPr>
        <w:spacing w:before="0" w:after="0" w:line="408" w:lineRule="exact"/>
        <w:ind w:left="0" w:right="0" w:firstLine="576"/>
        <w:jc w:val="left"/>
      </w:pPr>
      <w:r>
        <w:rPr/>
        <w:t xml:space="preserve">(7) Except as provided in RCW 47.64.220, salary and benefit information for maritime employees collected from private employers under RCW 47.64.220(1) and described in RCW 47.64.220(2); and</w:t>
      </w:r>
    </w:p>
    <w:p>
      <w:pPr>
        <w:spacing w:before="0" w:after="0" w:line="408" w:lineRule="exact"/>
        <w:ind w:left="0" w:right="0" w:firstLine="576"/>
        <w:jc w:val="left"/>
      </w:pPr>
      <w:r>
        <w:rPr/>
        <w:t xml:space="preserve">(8)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
      <w:pPr>
        <w:jc w:val="center"/>
      </w:pPr>
      <w:r>
        <w:rPr>
          <w:b/>
        </w:rPr>
        <w:t>--- END ---</w:t>
      </w:r>
    </w:p>
    <w:sectPr>
      <w:pgNumType w:start="1"/>
      <w:footerReference xmlns:r="http://schemas.openxmlformats.org/officeDocument/2006/relationships" r:id="R005e8ca9dacc42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ba4e631ce4402a" /><Relationship Type="http://schemas.openxmlformats.org/officeDocument/2006/relationships/footer" Target="/word/footer.xml" Id="R005e8ca9dacc42e7" /></Relationships>
</file>