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d23ee3423430b" /></Relationships>
</file>

<file path=word/document.xml><?xml version="1.0" encoding="utf-8"?>
<w:document xmlns:w="http://schemas.openxmlformats.org/wordprocessingml/2006/main">
  <w:body>
    <w:p>
      <w:r>
        <w:t>H-3246.2</w:t>
      </w:r>
    </w:p>
    <w:p>
      <w:pPr>
        <w:jc w:val="center"/>
      </w:pPr>
      <w:r>
        <w:t>_______________________________________________</w:t>
      </w:r>
    </w:p>
    <w:p/>
    <w:p>
      <w:pPr>
        <w:jc w:val="center"/>
      </w:pPr>
      <w:r>
        <w:rPr>
          <w:b/>
        </w:rPr>
        <w:t>HOUSE BILL 2342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Hurst</w:t>
      </w:r>
    </w:p>
    <w:p/>
    <w:p>
      <w:r>
        <w:rPr>
          <w:t xml:space="preserve">Prefiled 01/05/16.</w:t>
        </w:rPr>
      </w:r>
      <w:r>
        <w:rPr>
          <w:t xml:space="preserve">Read first time 01/11/16.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of personal services by members of the liquor industry to retailers;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t>
      </w:r>
      <w:r>
        <w:rPr>
          <w:u w:val="single"/>
        </w:rPr>
        <w:t xml:space="preserve">or to beer and/or wine specialty shop licensees</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 domestic brewery, microbrewery, or beer certificate of approval holder is not obligated to perform any such personal services, and a grocery store </w:t>
      </w:r>
      <w:r>
        <w:rPr>
          <w:u w:val="single"/>
        </w:rPr>
        <w:t xml:space="preserve">or beer and/or wine specialty shop</w:t>
      </w:r>
      <w:r>
        <w:rPr/>
        <w:t xml:space="preserv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the performance of personal services offered from time to time by a distiller, importer, manufacturer of spirits, or spirits importer to a beer and/or wine specialty shop with a spirits retail license when the personal services are (a) conducted at a licensed premises, and (b) intended to inform, educate, or enhance customers' knowledge or experience of the manufacturer's products. The performance of personal services may include participation in pouring for tastings, bottle signing events, enhanced packaging promotions, and other similar informational or educational activities at the premises of a beer and/or wine specialty shop with a spirits retail license. Any spirit sampling at such an event must be conducted pursuant to RCW 66.24.670. A distiller, importer, manufacturer of spirits, or spirits importer is not obligated to perform any such personal services, and a retail licensee may not require a distiller, importer, manufacturer of spirits, or spirits importer to conduct any personal service as a condition for selling any alcohol to the retail licensee, or as a condition for including any product of the distiller, importer, manufacturer of spirits, or spirits importer in any tasting conducted by the licensee. Except as provided in RCW 66.28.150, the cost of sampling may not be borne, directly or indirectly, by any distiller, importer, manufacturer of spirits, or spirits importer. Nothing in this section prohibits a certificate of approval holder, distiller, importer, manufacturer of spirits, or spirits importer from identifying the producers on private labels authorized under RCW 66.24.360, 66.24.371, 66.24.400, 66.24.425, and 66.24.450.</w:t>
      </w:r>
    </w:p>
    <w:p>
      <w:pPr>
        <w:spacing w:before="0" w:after="0" w:line="408" w:lineRule="exact"/>
        <w:ind w:left="0" w:right="0" w:firstLine="576"/>
        <w:jc w:val="left"/>
      </w:pPr>
      <w:r>
        <w:rPr>
          <w:u w:val="single"/>
        </w:rPr>
        <w:t xml:space="preserve">(12) The personal services provided by an industry member to a retailer under subsection (5), (7), or (11) of this section may be provided by an agent of the industry member.</w:t>
      </w:r>
    </w:p>
    <w:p>
      <w:pPr>
        <w:spacing w:before="0" w:after="0" w:line="408" w:lineRule="exact"/>
        <w:ind w:left="0" w:right="0" w:firstLine="576"/>
        <w:jc w:val="left"/>
      </w:pPr>
      <w:r>
        <w:rPr>
          <w:u w:val="single"/>
        </w:rPr>
        <w:t xml:space="preserve">(13) Any enhanced promotional packaging must meet state and federal requirements for labeling, pricing, moneys' worth under RCW 66.28.305, and undue influence under this section.</w:t>
      </w:r>
    </w:p>
    <w:p/>
    <w:p>
      <w:pPr>
        <w:jc w:val="center"/>
      </w:pPr>
      <w:r>
        <w:rPr>
          <w:b/>
        </w:rPr>
        <w:t>--- END ---</w:t>
      </w:r>
    </w:p>
    <w:sectPr>
      <w:pgNumType w:start="1"/>
      <w:footerReference xmlns:r="http://schemas.openxmlformats.org/officeDocument/2006/relationships" r:id="Ra6b8f290247941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9ec9b873347ab" /><Relationship Type="http://schemas.openxmlformats.org/officeDocument/2006/relationships/footer" Target="/word/footer.xml" Id="Ra6b8f29024794105" /></Relationships>
</file>