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a8ad0cbfd45fb" /></Relationships>
</file>

<file path=word/document.xml><?xml version="1.0" encoding="utf-8"?>
<w:document xmlns:w="http://schemas.openxmlformats.org/wordprocessingml/2006/main">
  <w:body>
    <w:p>
      <w:r>
        <w:t>H-4314.1</w:t>
      </w:r>
    </w:p>
    <w:p>
      <w:pPr>
        <w:jc w:val="center"/>
      </w:pPr>
      <w:r>
        <w:t>_______________________________________________</w:t>
      </w:r>
    </w:p>
    <w:p/>
    <w:p>
      <w:pPr>
        <w:jc w:val="center"/>
      </w:pPr>
      <w:r>
        <w:rPr>
          <w:b/>
        </w:rPr>
        <w:t>SECOND SUBSTITUTE HOUSE BILL 2364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Wylie, Fitzgibbon, S. Hunt, Moeller, Vick, and Buys)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marijuana-related businesses involving a partnership, employee cooperative, association, nonprofit corporation, corporation, or limited liability company;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More than fifty percent of the interest in the entity is held by one or more interest holders who lawfully reside in the state;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(d)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u w:val="single"/>
        </w:rPr>
        <w:t xml:space="preserve">(e) The department must by rule establish an application fee for license applicants who are business or nonprofit entities as defined under this section. The fee must be in an amount sufficient to offset the additional investigative and administrative costs associated with the licensure of such entities and shall be in addition to any other application or licensing fee imposed under this chapter.</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
      <w:pPr>
        <w:jc w:val="center"/>
      </w:pPr>
      <w:r>
        <w:rPr>
          <w:b/>
        </w:rPr>
        <w:t>--- END ---</w:t>
      </w:r>
    </w:p>
    <w:sectPr>
      <w:pgNumType w:start="1"/>
      <w:footerReference xmlns:r="http://schemas.openxmlformats.org/officeDocument/2006/relationships" r:id="R6b5b66e1538c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6b0907bc94ec5" /><Relationship Type="http://schemas.openxmlformats.org/officeDocument/2006/relationships/footer" Target="/word/footer.xml" Id="R6b5b66e1538c421f" /></Relationships>
</file>