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1bbbeb227488a" /></Relationships>
</file>

<file path=word/document.xml><?xml version="1.0" encoding="utf-8"?>
<w:document xmlns:w="http://schemas.openxmlformats.org/wordprocessingml/2006/main">
  <w:body>
    <w:p>
      <w:r>
        <w:t>H-3285.1</w:t>
      </w:r>
    </w:p>
    <w:p>
      <w:pPr>
        <w:jc w:val="center"/>
      </w:pPr>
      <w:r>
        <w:t>_______________________________________________</w:t>
      </w:r>
    </w:p>
    <w:p/>
    <w:p>
      <w:pPr>
        <w:jc w:val="center"/>
      </w:pPr>
      <w:r>
        <w:rPr>
          <w:b/>
        </w:rPr>
        <w:t>HOUSE BILL 2397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McBride, Robinson, Kuderer, Stanford, Clibborn, Goodman, Walkinshaw, Tarleton, Farrell, Moscoso, and Ormsby</w:t>
      </w:r>
    </w:p>
    <w:p/>
    <w:p>
      <w:r>
        <w:rPr>
          <w:t xml:space="preserve">Read first time 01/13/16.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affordable housing by permitting a local government fee on demolitions that reduce potential housing stock; amending RCW 82.02.020; adding a new chapter to Title 35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demolition of existing residential dwellings in Washington's cities has exacerbated the conversion of existing affordable housing units into more expensive units. The legislature further finds that the limited availability of affordable housing has increased the costs to cities and towns of providing needed services to vulnerable citizens. It is the intent of the legislature to give cities and towns authorization to impose a fee on demolitions that will serve to offset in part the costs to cities and towns arising from the reduction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development" means the acquisition, construction, or rehabilitation of residential housing for purposes of providing affordable housing, as defined in RCW 43.63A.510.</w:t>
      </w:r>
    </w:p>
    <w:p>
      <w:pPr>
        <w:spacing w:before="0" w:after="0" w:line="408" w:lineRule="exact"/>
        <w:ind w:left="0" w:right="0" w:firstLine="576"/>
        <w:jc w:val="left"/>
      </w:pPr>
      <w:r>
        <w:rPr/>
        <w:t xml:space="preserve">(2) "City" means any city or town.</w:t>
      </w:r>
    </w:p>
    <w:p>
      <w:pPr>
        <w:spacing w:before="0" w:after="0" w:line="408" w:lineRule="exact"/>
        <w:ind w:left="0" w:right="0" w:firstLine="576"/>
        <w:jc w:val="left"/>
      </w:pPr>
      <w:r>
        <w:rPr/>
        <w:t xml:space="preserve">(3) "Demolition" has the same meaning as in a city's building or zoning code or other administrative code, unless a city does not define "demolition" in code, in which case it means an act or process within a person's control that results in the removal or destruction of not less than ninety percent of the structure or building, including a combination of interior and exterior elements of a structure or building.</w:t>
      </w:r>
    </w:p>
    <w:p>
      <w:pPr>
        <w:spacing w:before="0" w:after="0" w:line="408" w:lineRule="exact"/>
        <w:ind w:left="0" w:right="0" w:firstLine="576"/>
        <w:jc w:val="left"/>
      </w:pPr>
      <w:r>
        <w:rPr/>
        <w:t xml:space="preserve">(4) "Multifamily residential dwelling" means a structure housing two or more residential units.</w:t>
      </w:r>
    </w:p>
    <w:p>
      <w:pPr>
        <w:spacing w:before="0" w:after="0" w:line="408" w:lineRule="exact"/>
        <w:ind w:left="0" w:right="0" w:firstLine="576"/>
        <w:jc w:val="left"/>
      </w:pPr>
      <w:r>
        <w:rPr/>
        <w:t xml:space="preserve">(5) "Permit" means the building, construction, demolition, or other authorization that is required for the demolition of a principal structure as provided in the city's building or zoning code or other administrative or municipal code.</w:t>
      </w:r>
    </w:p>
    <w:p>
      <w:pPr>
        <w:spacing w:before="0" w:after="0" w:line="408" w:lineRule="exact"/>
        <w:ind w:left="0" w:right="0" w:firstLine="576"/>
        <w:jc w:val="left"/>
      </w:pPr>
      <w:r>
        <w:rPr/>
        <w:t xml:space="preserve">(6) "Residential dwelling" means a single-family residential dwelling or a multifamily residential dwelling.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city may, by resolution or ordinance, fix and impose a demolition fee for a city permit issued for the demolition of residential dwellings within the city, in accordance with the terms of this chapter.</w:t>
      </w:r>
    </w:p>
    <w:p>
      <w:pPr>
        <w:spacing w:before="0" w:after="0" w:line="408" w:lineRule="exact"/>
        <w:ind w:left="0" w:right="0" w:firstLine="576"/>
        <w:jc w:val="left"/>
      </w:pPr>
      <w:r>
        <w:rPr/>
        <w:t xml:space="preserve">(2) The demolition fee may be applied at a rate of:</w:t>
      </w:r>
    </w:p>
    <w:p>
      <w:pPr>
        <w:spacing w:before="0" w:after="0" w:line="408" w:lineRule="exact"/>
        <w:ind w:left="0" w:right="0" w:firstLine="576"/>
        <w:jc w:val="left"/>
      </w:pPr>
      <w:r>
        <w:rPr/>
        <w:t xml:space="preserve">(a) Not more than five thousand dollars per single-family residential dwelling; or</w:t>
      </w:r>
    </w:p>
    <w:p>
      <w:pPr>
        <w:spacing w:before="0" w:after="0" w:line="408" w:lineRule="exact"/>
        <w:ind w:left="0" w:right="0" w:firstLine="576"/>
        <w:jc w:val="left"/>
      </w:pPr>
      <w:r>
        <w:rPr/>
        <w:t xml:space="preserve">(b) For any multifamily residential dwelling, up to two thousand five hundred dollars multiplied by the number of units in the structure, but not more than a total of twenty-five thousand dollars.</w:t>
      </w:r>
    </w:p>
    <w:p>
      <w:pPr>
        <w:spacing w:before="0" w:after="0" w:line="408" w:lineRule="exact"/>
        <w:ind w:left="0" w:right="0" w:firstLine="576"/>
        <w:jc w:val="left"/>
      </w:pPr>
      <w:r>
        <w:rPr/>
        <w:t xml:space="preserve">(3) The moneys collected under this section must be deposited in an affordable housing fund established by the city and used for affordable housing development.</w:t>
      </w:r>
    </w:p>
    <w:p>
      <w:pPr>
        <w:spacing w:before="0" w:after="0" w:line="408" w:lineRule="exact"/>
        <w:ind w:left="0" w:right="0" w:firstLine="576"/>
        <w:jc w:val="left"/>
      </w:pPr>
      <w:r>
        <w:rPr/>
        <w:t xml:space="preserve">(4) In addition to the fee imposed in subsection (1) of this section, any city that imposes a demolition fee authorized under this section must apply the fee to the demolition of any residential dwelling owned by the city, unless the city has adopted an affordable housing development plan on the same property, or at a suitable alternative location, to replace the demolished residential dwelling.</w:t>
      </w:r>
    </w:p>
    <w:p>
      <w:pPr>
        <w:spacing w:before="0" w:after="0" w:line="408" w:lineRule="exact"/>
        <w:ind w:left="0" w:right="0" w:firstLine="576"/>
        <w:jc w:val="left"/>
      </w:pPr>
      <w:r>
        <w:rPr/>
        <w:t xml:space="preserve">(5) No demolition fee may apply to permits issued under the following circumstances:</w:t>
      </w:r>
    </w:p>
    <w:p>
      <w:pPr>
        <w:spacing w:before="0" w:after="0" w:line="408" w:lineRule="exact"/>
        <w:ind w:left="0" w:right="0" w:firstLine="576"/>
        <w:jc w:val="left"/>
      </w:pPr>
      <w:r>
        <w:rPr/>
        <w:t xml:space="preserve">(a) For the demolition of a residential dwelling that will be replaced by one or more residential dwellings that are affordable to households with an adjusted gross income of up to one hundred twenty percent of the area median income, adjusted for household size, for the county where the dwelling is located;</w:t>
      </w:r>
    </w:p>
    <w:p>
      <w:pPr>
        <w:spacing w:before="0" w:after="0" w:line="408" w:lineRule="exact"/>
        <w:ind w:left="0" w:right="0" w:firstLine="576"/>
        <w:jc w:val="left"/>
      </w:pPr>
      <w:r>
        <w:rPr/>
        <w:t xml:space="preserve">(b) For the demolition of a residential dwelling whose owner has owned and occupied the residential dwelling for a minimum of five years preceding the date of issuance of the permit and will be replaced by a residential dwelling that will be owned and occupied by the same owner for a minimum of five years after the date of issuance of the permit;</w:t>
      </w:r>
    </w:p>
    <w:p>
      <w:pPr>
        <w:spacing w:before="0" w:after="0" w:line="408" w:lineRule="exact"/>
        <w:ind w:left="0" w:right="0" w:firstLine="576"/>
        <w:jc w:val="left"/>
      </w:pPr>
      <w:r>
        <w:rPr/>
        <w:t xml:space="preserve">(c) For demolition of a residential dwelling whose owner meets the following criteria:</w:t>
      </w:r>
    </w:p>
    <w:p>
      <w:pPr>
        <w:spacing w:before="0" w:after="0" w:line="408" w:lineRule="exact"/>
        <w:ind w:left="0" w:right="0" w:firstLine="576"/>
        <w:jc w:val="left"/>
      </w:pPr>
      <w:r>
        <w:rPr/>
        <w:t xml:space="preserve">(i) Provides documentation that the demolition is necessary due to medical reasons;</w:t>
      </w:r>
    </w:p>
    <w:p>
      <w:pPr>
        <w:spacing w:before="0" w:after="0" w:line="408" w:lineRule="exact"/>
        <w:ind w:left="0" w:right="0" w:firstLine="576"/>
        <w:jc w:val="left"/>
      </w:pPr>
      <w:r>
        <w:rPr/>
        <w:t xml:space="preserve">(ii) Has an adjusted gross income of up to one hundred twenty percent of the area median income, adjusted for household size, for the county where the dwelling is located; and</w:t>
      </w:r>
    </w:p>
    <w:p>
      <w:pPr>
        <w:spacing w:before="0" w:after="0" w:line="408" w:lineRule="exact"/>
        <w:ind w:left="0" w:right="0" w:firstLine="576"/>
        <w:jc w:val="left"/>
      </w:pPr>
      <w:r>
        <w:rPr/>
        <w:t xml:space="preserve">(iii) Will occupy the replacement residential dwelling;</w:t>
      </w:r>
    </w:p>
    <w:p>
      <w:pPr>
        <w:spacing w:before="0" w:after="0" w:line="408" w:lineRule="exact"/>
        <w:ind w:left="0" w:right="0" w:firstLine="576"/>
        <w:jc w:val="left"/>
      </w:pPr>
      <w:r>
        <w:rPr/>
        <w:t xml:space="preserve">(d) For demolition of a residential dwelling that is deemed necessary due to an act of God or other factors beyond the owner's control and reasonable ability to remedy; and</w:t>
      </w:r>
    </w:p>
    <w:p>
      <w:pPr>
        <w:spacing w:before="0" w:after="0" w:line="408" w:lineRule="exact"/>
        <w:ind w:left="0" w:right="0" w:firstLine="576"/>
        <w:jc w:val="left"/>
      </w:pPr>
      <w:r>
        <w:rPr/>
        <w:t xml:space="preserve">(e) Permits issued to a local housing authority, nonprofit community or neighborhood-based organization, or regional or statewide nonprofit housing assistance organization, engaged in affordable housing development.</w:t>
      </w:r>
    </w:p>
    <w:p>
      <w:pPr>
        <w:spacing w:before="0" w:after="0" w:line="408" w:lineRule="exact"/>
        <w:ind w:left="0" w:right="0" w:firstLine="576"/>
        <w:jc w:val="left"/>
      </w:pPr>
      <w:r>
        <w:rPr/>
        <w:t xml:space="preserve">(6) Moneys collected under this section may not be used to supplant existing federal, state, or local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u w:val="single"/>
        </w:rPr>
        <w:t xml:space="preserve">(1)</w:t>
      </w:r>
      <w:r>
        <w:rPr/>
        <w:t xml:space="preserve"> 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w:t>
      </w:r>
      <w:r>
        <w:t>((</w:t>
      </w:r>
      <w:r>
        <w:rPr>
          <w:strike/>
        </w:rPr>
        <w:t xml:space="preserve">shall have</w:t>
      </w:r>
      <w:r>
        <w:t>))</w:t>
      </w:r>
      <w:r>
        <w:rPr/>
        <w:t xml:space="preserve"> </w:t>
      </w:r>
      <w:r>
        <w:rPr>
          <w:u w:val="single"/>
        </w:rPr>
        <w:t xml:space="preserve">has</w:t>
      </w:r>
      <w:r>
        <w:rPr/>
        <w:t xml:space="preserve"> the right to impose taxes of that nature. Except as provided in RCW 64.34.440</w:t>
      </w:r>
      <w:r>
        <w:rPr>
          <w:u w:val="single"/>
        </w:rPr>
        <w:t xml:space="preserve">, section 3 of this act,</w:t>
      </w:r>
      <w:r>
        <w:rPr/>
        <w:t xml:space="preserve"> and 82.02.050 through 82.02.090, no county, city, town, or other municipal corporation </w:t>
      </w:r>
      <w:r>
        <w:t>((</w:t>
      </w:r>
      <w:r>
        <w:rPr>
          <w:strike/>
        </w:rPr>
        <w:t xml:space="preserve">shall</w:t>
      </w:r>
      <w:r>
        <w:t>))</w:t>
      </w:r>
      <w:r>
        <w:rPr/>
        <w:t xml:space="preserve"> </w:t>
      </w:r>
      <w:r>
        <w:rPr>
          <w:u w:val="single"/>
        </w:rPr>
        <w:t xml:space="preserve">may</w:t>
      </w:r>
      <w:r>
        <w:rPr/>
        <w:t xml:space="preserve">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u w:val="single"/>
        </w:rPr>
        <w:t xml:space="preserve">(2)</w:t>
      </w:r>
      <w:r>
        <w:rPr/>
        <w:t xml:space="preserve"> 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w:t>
      </w:r>
      <w:r>
        <w:t>((</w:t>
      </w:r>
      <w:r>
        <w:rPr>
          <w:strike/>
        </w:rPr>
        <w:t xml:space="preserve">shall</w:t>
      </w:r>
      <w:r>
        <w:t>))</w:t>
      </w:r>
      <w:r>
        <w:rPr/>
        <w:t xml:space="preserve"> </w:t>
      </w:r>
      <w:r>
        <w:rPr>
          <w:u w:val="single"/>
        </w:rPr>
        <w:t xml:space="preserve">may</w:t>
      </w:r>
      <w:r>
        <w:rPr/>
        <w:t xml:space="preserve">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payment </w:t>
      </w:r>
      <w:r>
        <w:t>((</w:t>
      </w:r>
      <w:r>
        <w:rPr>
          <w:strike/>
        </w:rPr>
        <w:t xml:space="preserve">shall</w:t>
      </w:r>
      <w:r>
        <w:t>))</w:t>
      </w:r>
      <w:r>
        <w:rPr/>
        <w:t xml:space="preserve"> </w:t>
      </w:r>
      <w:r>
        <w:rPr>
          <w:u w:val="single"/>
        </w:rPr>
        <w:t xml:space="preserve">must</w:t>
      </w:r>
      <w:r>
        <w:rPr/>
        <w:t xml:space="preserve"> be held in a reserve account and may only be expended to fund a capital improvement agreed upon by the parties to mitigate the identified, direct impact;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w:t>
      </w:r>
      <w:r>
        <w:t>((</w:t>
      </w:r>
      <w:r>
        <w:rPr>
          <w:strike/>
        </w:rPr>
        <w:t xml:space="preserve">shall</w:t>
      </w:r>
      <w:r>
        <w:t>))</w:t>
      </w:r>
      <w:r>
        <w:rPr/>
        <w:t xml:space="preserve"> </w:t>
      </w:r>
      <w:r>
        <w:rPr>
          <w:u w:val="single"/>
        </w:rPr>
        <w:t xml:space="preserve">must</w:t>
      </w:r>
      <w:r>
        <w:rPr/>
        <w:t xml:space="preserve"> be expended in all cases within five years of collection;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payment not so expended </w:t>
      </w:r>
      <w:r>
        <w:t>((</w:t>
      </w:r>
      <w:r>
        <w:rPr>
          <w:strike/>
        </w:rPr>
        <w:t xml:space="preserve">shall</w:t>
      </w:r>
      <w:r>
        <w:t>))</w:t>
      </w:r>
      <w:r>
        <w:rPr/>
        <w:t xml:space="preserve"> </w:t>
      </w:r>
      <w:r>
        <w:rPr>
          <w:u w:val="single"/>
        </w:rPr>
        <w:t xml:space="preserve">must</w:t>
      </w:r>
      <w:r>
        <w:rPr/>
        <w:t xml:space="preserve">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w:t>
      </w:r>
      <w:r>
        <w:t>((</w:t>
      </w:r>
      <w:r>
        <w:rPr>
          <w:strike/>
        </w:rPr>
        <w:t xml:space="preserve">shall</w:t>
      </w:r>
      <w:r>
        <w:t>))</w:t>
      </w:r>
      <w:r>
        <w:rPr/>
        <w:t xml:space="preserve"> </w:t>
      </w:r>
      <w:r>
        <w:rPr>
          <w:u w:val="single"/>
        </w:rPr>
        <w:t xml:space="preserve">must</w:t>
      </w:r>
      <w:r>
        <w:rPr/>
        <w:t xml:space="preserve"> be refunded without interest.</w:t>
      </w:r>
    </w:p>
    <w:p>
      <w:pPr>
        <w:spacing w:before="0" w:after="0" w:line="408" w:lineRule="exact"/>
        <w:ind w:left="0" w:right="0" w:firstLine="576"/>
        <w:jc w:val="left"/>
      </w:pPr>
      <w:r>
        <w:rPr>
          <w:u w:val="single"/>
        </w:rPr>
        <w:t xml:space="preserve">(3)</w:t>
      </w:r>
      <w:r>
        <w:rPr/>
        <w:t xml:space="preserve"> No county, city, town, or other municipal corporation </w:t>
      </w:r>
      <w:r>
        <w:t>((</w:t>
      </w:r>
      <w:r>
        <w:rPr>
          <w:strike/>
        </w:rPr>
        <w:t xml:space="preserve">shall</w:t>
      </w:r>
      <w:r>
        <w:t>))</w:t>
      </w:r>
      <w:r>
        <w:rPr/>
        <w:t xml:space="preserve"> </w:t>
      </w:r>
      <w:r>
        <w:rPr>
          <w:u w:val="single"/>
        </w:rPr>
        <w:t xml:space="preserve">may</w:t>
      </w:r>
      <w:r>
        <w:rPr/>
        <w:t xml:space="preserve">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u w:val="single"/>
        </w:rPr>
        <w:t xml:space="preserve">(4)</w:t>
      </w:r>
      <w:r>
        <w:rPr/>
        <w:t xml:space="preserve"> 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u w:val="single"/>
        </w:rPr>
        <w:t xml:space="preserve">(5)</w:t>
      </w:r>
      <w:r>
        <w:rPr/>
        <w:t xml:space="preserve"> 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u w:val="single"/>
        </w:rPr>
        <w:t xml:space="preserve">(6)</w:t>
      </w:r>
      <w:r>
        <w:rPr/>
        <w:t xml:space="preserve"> Nothing in this section prohibits counties, cities, or towns from imposing or permits counties, cities, or towns to impose water, sewer, natural gas, drainage utility, and drainage system charges. However, no such charge </w:t>
      </w:r>
      <w:r>
        <w:t>((</w:t>
      </w:r>
      <w:r>
        <w:rPr>
          <w:strike/>
        </w:rPr>
        <w:t xml:space="preserve">shall</w:t>
      </w:r>
      <w:r>
        <w:t>))</w:t>
      </w:r>
      <w:r>
        <w:rPr/>
        <w:t xml:space="preserve"> </w:t>
      </w:r>
      <w:r>
        <w:rPr>
          <w:u w:val="single"/>
        </w:rPr>
        <w:t xml:space="preserve">may</w:t>
      </w:r>
      <w:r>
        <w:rPr/>
        <w:t xml:space="preserve">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u w:val="single"/>
        </w:rPr>
        <w:t xml:space="preserve">(7)</w:t>
      </w:r>
      <w:r>
        <w:rPr/>
        <w:t xml:space="preserve"> 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u w:val="single"/>
        </w:rPr>
        <w:t xml:space="preserve">(8)</w:t>
      </w:r>
      <w:r>
        <w:rPr/>
        <w:t xml:space="preserve"> Nothing in this section prohibits counties, cities, or towns from imposing transportation impact fees authorized pursuant to chapter 39.92 RCW.</w:t>
      </w:r>
    </w:p>
    <w:p>
      <w:pPr>
        <w:spacing w:before="0" w:after="0" w:line="408" w:lineRule="exact"/>
        <w:ind w:left="0" w:right="0" w:firstLine="576"/>
        <w:jc w:val="left"/>
      </w:pPr>
      <w:r>
        <w:rPr>
          <w:u w:val="single"/>
        </w:rPr>
        <w:t xml:space="preserve">(9)</w:t>
      </w:r>
      <w:r>
        <w:rPr/>
        <w:t xml:space="preserve"> 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u w:val="single"/>
        </w:rPr>
        <w:t xml:space="preserve">(10)</w:t>
      </w:r>
      <w:r>
        <w:rPr/>
        <w:t xml:space="preserve"> 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u w:val="single"/>
        </w:rPr>
        <w:t xml:space="preserve">(11)</w:t>
      </w:r>
      <w:r>
        <w:rPr/>
        <w:t xml:space="preserve"> This section does not apply to special purpose districts formed and acting pursuant to Title 54, 57, or 87 RCW, nor is the authority conferred by these titles affected.</w:t>
      </w:r>
    </w:p>
    <w:p>
      <w:pPr>
        <w:spacing w:before="0" w:after="0" w:line="408" w:lineRule="exact"/>
        <w:ind w:left="0" w:right="0" w:firstLine="576"/>
        <w:jc w:val="left"/>
      </w:pPr>
      <w:r>
        <w:rPr>
          <w:u w:val="single"/>
        </w:rPr>
        <w:t xml:space="preserve">(12) Nothing in this section limits the authority of cities to implement the demolition fee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6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798cad37aade41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27fa1a4b34026" /><Relationship Type="http://schemas.openxmlformats.org/officeDocument/2006/relationships/footer" Target="/word/footer.xml" Id="R798cad37aade419f" /></Relationships>
</file>