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6a002b15d14bd2" /></Relationships>
</file>

<file path=word/document.xml><?xml version="1.0" encoding="utf-8"?>
<w:document xmlns:w="http://schemas.openxmlformats.org/wordprocessingml/2006/main">
  <w:body>
    <w:p>
      <w:r>
        <w:t>H-3118.1</w:t>
      </w:r>
    </w:p>
    <w:p>
      <w:pPr>
        <w:jc w:val="center"/>
      </w:pPr>
      <w:r>
        <w:t>_______________________________________________</w:t>
      </w:r>
    </w:p>
    <w:p/>
    <w:p>
      <w:pPr>
        <w:jc w:val="center"/>
      </w:pPr>
      <w:r>
        <w:rPr>
          <w:b/>
        </w:rPr>
        <w:t>HOUSE BILL 2408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Clibborn, Caldier, Rodne, Robinson, Short, Johnson, Fitzgibbon, Kagi, Tarleton, and Riccelli</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barriers to patient access to care resulting from health insurance contracting practices; amending RCW 41.05.074 and 48.43.016;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074</w:t>
      </w:r>
      <w:r>
        <w:rPr/>
        <w:t xml:space="preserve"> and 2015 c 251 s 1 are each amended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w:t>
      </w:r>
      <w:r>
        <w:rPr>
          <w:u w:val="single"/>
        </w:rPr>
        <w:t xml:space="preserve">A health plan offered to employees and their covered dependents under this chapter may not require a covered person's cost sharing, including copayments, for habilitative, rehabilitative, East Asian medicine, or chiropractic care to exceed the cost-sharing amount the plan requires for primary care.</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2015 c 251 s 2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w:t>
      </w:r>
      <w:r>
        <w:rPr>
          <w:u w:val="single"/>
        </w:rPr>
        <w:t xml:space="preserve">A health carrier may not require a covered person's cost sharing, including copayments, for habilitative, rehabilitative, East Asian medicine, or chiropractic care to exceed the cost-sharing amount the carrier requires for primary care.</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e5e7152bec8249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76391851d452f" /><Relationship Type="http://schemas.openxmlformats.org/officeDocument/2006/relationships/footer" Target="/word/footer.xml" Id="Re5e7152bec8249b5" /></Relationships>
</file>