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1d088d2f24f17" /></Relationships>
</file>

<file path=word/document.xml><?xml version="1.0" encoding="utf-8"?>
<w:document xmlns:w="http://schemas.openxmlformats.org/wordprocessingml/2006/main">
  <w:body>
    <w:p>
      <w:r>
        <w:t>H-3149.1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Hayes, Orwall, Klippert, Goodman, Wilson, Griffey, Fitzgibbon, Magendanz, Muri, and Ormsby</w:t>
      </w:r>
    </w:p>
    <w:p/>
    <w:p>
      <w:r>
        <w:rPr>
          <w:t xml:space="preserve">Read first time 01/13/16.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information about certain criminal defendants be included in the felony firearm offense conviction database; and amending RCW 9.41.330.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330</w:t>
      </w:r>
      <w:r>
        <w:rPr/>
        <w:t xml:space="preserve"> and 2013 c 183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(1)</w:t>
      </w:r>
      <w:r>
        <w:t>))</w:t>
      </w:r>
      <w:r>
        <w:rPr/>
        <w:t xml:space="preserve"> On or after </w:t>
      </w:r>
      <w:r>
        <w:t>((</w:t>
      </w:r>
      <w:r>
        <w:rPr>
          <w:strike/>
        </w:rPr>
        <w:t xml:space="preserve">July 28, 2013</w:t>
      </w:r>
      <w:r>
        <w:t>))</w:t>
      </w:r>
      <w:r>
        <w:rPr/>
        <w:t xml:space="preserve"> </w:t>
      </w:r>
      <w:r>
        <w:rPr>
          <w:u w:val="single"/>
        </w:rPr>
        <w:t xml:space="preserve">the effective date of this section</w:t>
      </w:r>
      <w:r>
        <w:rPr/>
        <w:t xml:space="preserve">, whenever a defendant in this state is convicted of a felony firearm offense or found not guilty by reason of insanity of any felony firearm offense, the court </w:t>
      </w:r>
      <w:r>
        <w:t>((</w:t>
      </w:r>
      <w:r>
        <w:rPr>
          <w:strike/>
        </w:rPr>
        <w:t xml:space="preserve">must consider whether to</w:t>
      </w:r>
      <w:r>
        <w:t>))</w:t>
      </w:r>
      <w:r>
        <w:rPr/>
        <w:t xml:space="preserve"> </w:t>
      </w:r>
      <w:r>
        <w:rPr>
          <w:u w:val="single"/>
        </w:rPr>
        <w:t xml:space="preserve">shall</w:t>
      </w:r>
      <w:r>
        <w:rPr/>
        <w:t xml:space="preserve"> impose a requirement that the person comply with the registration requirements of RCW 9.41.333 </w:t>
      </w:r>
      <w:r>
        <w:t>((</w:t>
      </w:r>
      <w:r>
        <w:rPr>
          <w:strike/>
        </w:rPr>
        <w:t xml:space="preserve">and may, in its discretion, impose such a requirement.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(2) In determining whether to require the person to register, the court shall consider all relevant factors including, but not limited to: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The person's criminal history;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(b) Whether the person has previously been found not guilty by reason of insanity of any offense in this state or elsewhere;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 Evidence of the person's propensity for violence that would likely endanger persons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5e696dd08964f0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02f26b4bd4c9a" /><Relationship Type="http://schemas.openxmlformats.org/officeDocument/2006/relationships/footer" Target="/word/footer.xml" Id="R15e696dd08964f09" /></Relationships>
</file>