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a2e556e5e4d37" /></Relationships>
</file>

<file path=word/document.xml><?xml version="1.0" encoding="utf-8"?>
<w:document xmlns:w="http://schemas.openxmlformats.org/wordprocessingml/2006/main">
  <w:body>
    <w:p>
      <w:r>
        <w:t>H-3224.1</w:t>
      </w:r>
    </w:p>
    <w:p>
      <w:pPr>
        <w:jc w:val="center"/>
      </w:pPr>
      <w:r>
        <w:t>_______________________________________________</w:t>
      </w:r>
    </w:p>
    <w:p/>
    <w:p>
      <w:pPr>
        <w:jc w:val="center"/>
      </w:pPr>
      <w:r>
        <w:rPr>
          <w:b/>
        </w:rPr>
        <w:t>HOUSE BILL 2421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Vick, Blake, Manweller, Harris, Wilson, Shea, Taylor, Dent, and Condotta</w:t>
      </w:r>
    </w:p>
    <w:p/>
    <w:p>
      <w:r>
        <w:rPr>
          <w:t xml:space="preserve">Read first time 01/13/16.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that the state may not regulate greenhouse gas emissions beyond the requirements established by federal law; amending RCW 70.94.151; adding a new section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stable, reliable, and low-cost supply of power has historically attracted many job-creating industries to Washington, such as the semiconductor industry that has chosen to locate in Clark county. Retaining low-cost and reliable access to this power supply is critical to the survival and expansion of many sectors of Washington's economy.</w:t>
      </w:r>
    </w:p>
    <w:p>
      <w:pPr>
        <w:spacing w:before="0" w:after="0" w:line="408" w:lineRule="exact"/>
        <w:ind w:left="0" w:right="0" w:firstLine="576"/>
        <w:jc w:val="left"/>
      </w:pPr>
      <w:r>
        <w:rPr/>
        <w:t xml:space="preserve">(2) Washington's sources of electricity feature low levels of greenhouse gas emissions. In addition to the zero-emission hydroelectric power that supplies the majority of the state's power supply needs, many of the state's natural gas power plants, such as the river road gas fired plant operated by Clark public utility district, operate far more efficiently than is required by either federal or state emissions regulations. By ensuring that Washington manufacturing remains economically viable and that industries will continue to rely on Washington's comparatively clean electricity, overall global greenhouse gas emissions remain lower than if jobs and production were to move to less-intensively regulated jurisdictions where production of the same amount of manufactured product would be accompanied by far greater emissions of greenhouse gases.</w:t>
      </w:r>
    </w:p>
    <w:p>
      <w:pPr>
        <w:spacing w:before="0" w:after="0" w:line="408" w:lineRule="exact"/>
        <w:ind w:left="0" w:right="0" w:firstLine="576"/>
        <w:jc w:val="left"/>
      </w:pPr>
      <w:r>
        <w:rPr/>
        <w:t xml:space="preserve">(3) Therefore, it is the intent of the legislature to ensure that state restrictions on greenhouse gas emissions are no more stringent than restrictions established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The department is designated as the state agency responsible for submitting the state plan to the United States environmental protection agency consistent with the federal rule relating to greenhouse gas emissions from electric utility generating units, published in the federal register on October 23, 2015; 80 C.F.R. Sec. 64966 (2015).</w:t>
      </w:r>
    </w:p>
    <w:p>
      <w:pPr>
        <w:spacing w:before="0" w:after="0" w:line="408" w:lineRule="exact"/>
        <w:ind w:left="0" w:right="0" w:firstLine="576"/>
        <w:jc w:val="left"/>
      </w:pPr>
      <w:r>
        <w:rPr/>
        <w:t xml:space="preserve">(2) The plan submitted by the department under subsection (1) of this section may not limit or otherwise provide for the regulation of the greenhouse gas emissions of electric generation units that operate at a lower emissions rate than the final rate-based objective for average emissions associated with fossil fuel-fired electric generation in Washington that is established by the federal rule published in the federal register on October 23, 2015; 80 C.F.R. Sec. 64662 (2015).</w:t>
      </w:r>
    </w:p>
    <w:p>
      <w:pPr>
        <w:spacing w:before="0" w:after="0" w:line="408" w:lineRule="exact"/>
        <w:ind w:left="0" w:right="0" w:firstLine="576"/>
        <w:jc w:val="left"/>
      </w:pPr>
      <w:r>
        <w:rPr/>
        <w:t xml:space="preserve">(3) Under the authority of this chapter, the department may not adopt rules to limit or otherwise regulate greenhouse gas emissions that are more stringent than any requirements necessary for the state plan submitted pursuant to subsection (1) of this section to meet the minimum requirements necessary to comply with the federal rule published in the federal register on October 23, 2015; 80 C.F.R. Sec. 64966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Except as provided in (c) of this subsection, the board of any authority or the department</w:t>
      </w:r>
      <w:r>
        <w:rPr/>
        <w:t xml:space="preserve"> may require registration or reporting or both for any </w:t>
      </w:r>
      <w:r>
        <w:t>((</w:t>
      </w:r>
      <w:r>
        <w:rPr>
          <w:strike/>
        </w:rPr>
        <w:t xml:space="preserve">such</w:t>
      </w:r>
      <w:r>
        <w:t>))</w:t>
      </w:r>
      <w:r>
        <w:rPr/>
        <w:t xml:space="preserve"> class or classes </w:t>
      </w:r>
      <w:r>
        <w:rPr>
          <w:u w:val="single"/>
        </w:rPr>
        <w:t xml:space="preserve">of air contaminant sources or levels and types or other characteristics of emissions.</w:t>
      </w:r>
    </w:p>
    <w:p>
      <w:pPr>
        <w:spacing w:before="0" w:after="0" w:line="408" w:lineRule="exact"/>
        <w:ind w:left="0" w:right="0" w:firstLine="576"/>
        <w:jc w:val="left"/>
      </w:pPr>
      <w:r>
        <w:rPr>
          <w:u w:val="single"/>
        </w:rPr>
        <w:t xml:space="preserve">(c) The department shall adopt rules requiring the reporting of the emissions of greenhouse gases, as defined in RCW 70.235.010. However, except as provided in section 2 of this act, the department or board of any authority may not limit or otherwise regulate emissions of greenhouse gases under the authority of this chapter</w:t>
      </w:r>
      <w:r>
        <w:rPr/>
        <w:t xml:space="preserve">.</w:t>
      </w:r>
    </w:p>
    <w:p>
      <w:pPr>
        <w:spacing w:before="0" w:after="0" w:line="408" w:lineRule="exact"/>
        <w:ind w:left="0" w:right="0" w:firstLine="576"/>
        <w:jc w:val="left"/>
      </w:pPr>
      <w:r>
        <w:rPr>
          <w:u w:val="single"/>
        </w:rPr>
        <w:t xml:space="preserve">(d)</w:t>
      </w:r>
      <w:r>
        <w:rPr/>
        <w:t xml:space="preserve">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w:t>
      </w:r>
      <w:r>
        <w:t>((</w:t>
      </w:r>
      <w:r>
        <w:rPr>
          <w:strike/>
        </w:rPr>
        <w:t xml:space="preserve">In the case of emissions of greenhouse gases as defined in RCW 70.235.010 the department shall adopt rules requiring reporting of those emissions.</w:t>
      </w:r>
      <w:r>
        <w:t>))</w:t>
      </w:r>
      <w:r>
        <w:rPr/>
        <w:t xml:space="preserve">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 </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70.235.010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w:t>
      </w:r>
    </w:p>
    <w:p>
      <w:pPr>
        <w:spacing w:before="0" w:after="0" w:line="408" w:lineRule="exact"/>
        <w:ind w:left="0" w:right="0" w:firstLine="576"/>
        <w:jc w:val="left"/>
      </w:pPr>
      <w:r>
        <w:rPr/>
        <w:t xml:space="preserve">(ii)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pPr>
        <w:spacing w:before="0" w:after="0" w:line="408" w:lineRule="exact"/>
        <w:ind w:left="0" w:right="0" w:firstLine="576"/>
        <w:jc w:val="left"/>
      </w:pPr>
      <w:r>
        <w:rPr/>
        <w:t xml:space="preserve">(b)(i) 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or by the United States environmental protection agency. Prior to including additional gases to the definition of "greenhouse gas" in RCW 70.235.010,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pPr>
        <w:spacing w:before="0" w:after="0" w:line="408" w:lineRule="exact"/>
        <w:ind w:left="0" w:right="0" w:firstLine="576"/>
        <w:jc w:val="left"/>
      </w:pPr>
      <w:r>
        <w:rPr/>
        <w:t xml:space="preserve">(iii)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p>
      <w:pPr>
        <w:jc w:val="center"/>
      </w:pPr>
      <w:r>
        <w:rPr>
          <w:b/>
        </w:rPr>
        <w:t>--- END ---</w:t>
      </w:r>
    </w:p>
    <w:sectPr>
      <w:pgNumType w:start="1"/>
      <w:footerReference xmlns:r="http://schemas.openxmlformats.org/officeDocument/2006/relationships" r:id="Rc6021d11b98e40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b422f79ef475d" /><Relationship Type="http://schemas.openxmlformats.org/officeDocument/2006/relationships/footer" Target="/word/footer.xml" Id="Rc6021d11b98e40f3" /></Relationships>
</file>