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fb0697993e4380" /></Relationships>
</file>

<file path=word/document.xml><?xml version="1.0" encoding="utf-8"?>
<w:document xmlns:w="http://schemas.openxmlformats.org/wordprocessingml/2006/main">
  <w:body>
    <w:p>
      <w:r>
        <w:t>H-3019.1</w:t>
      </w:r>
    </w:p>
    <w:p>
      <w:pPr>
        <w:jc w:val="center"/>
      </w:pPr>
      <w:r>
        <w:t>_______________________________________________</w:t>
      </w:r>
    </w:p>
    <w:p/>
    <w:p>
      <w:pPr>
        <w:jc w:val="center"/>
      </w:pPr>
      <w:r>
        <w:rPr>
          <w:b/>
        </w:rPr>
        <w:t>HOUSE BILL 2428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Wylie, Ryu, Stambaugh, Kochmar, Fey, and Moscoso</w:t>
      </w:r>
    </w:p>
    <w:p/>
    <w:p>
      <w:r>
        <w:rPr>
          <w:t xml:space="preserve">Read first time 01/13/16.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documents recording a special purpose district lien from the surcharge for local homeless housing and assistance; and amending RCW 36.22.179.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2014 c 200 s 1 are each amended to read as follows:</w:t>
      </w:r>
    </w:p>
    <w:p>
      <w:pPr>
        <w:spacing w:before="0" w:after="0" w:line="408" w:lineRule="exact"/>
        <w:ind w:left="0" w:right="0" w:firstLine="576"/>
        <w:jc w:val="left"/>
      </w:pPr>
      <w:r>
        <w:rPr/>
        <w:t xml:space="preserve">(1) In addition to the surcharge authorized in RCW 36.22.178, and except as provided in subsection (2) of this section, an additional surcharge of ten dollars shall be charged by the county auditor for each document recorded, which will be in addition to any other charge allowed by law. From September 1, 2012, through June 30, 2019, the surcharge shall be forty dollars. The funds collected pursuant to this section are to be distributed and used as follows:</w:t>
      </w:r>
    </w:p>
    <w:p>
      <w:pPr>
        <w:spacing w:before="0" w:after="0" w:line="408" w:lineRule="exact"/>
        <w:ind w:left="0" w:right="0" w:firstLine="576"/>
        <w:jc w:val="left"/>
      </w:pPr>
      <w:r>
        <w:rPr/>
        <w:t xml:space="preserve">(a)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 Of the remaining eighty-seven and one-half percent, at least forty-five percent must be set aside for the use of private rental housing payments, and the remainder is to be used by the department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state, county, </w:t>
      </w:r>
      <w:r>
        <w:t>((</w:t>
      </w:r>
      <w:r>
        <w:rPr>
          <w:strike/>
        </w:rPr>
        <w:t xml:space="preserve">or</w:t>
      </w:r>
      <w:r>
        <w:t>))</w:t>
      </w:r>
      <w:r>
        <w:rPr/>
        <w:t xml:space="preserve"> city</w:t>
      </w:r>
      <w:r>
        <w:rPr>
          <w:u w:val="single"/>
        </w:rPr>
        <w:t xml:space="preserve">, or special purpose district</w:t>
      </w:r>
      <w:r>
        <w:rPr/>
        <w:t xml:space="preserve"> lien </w:t>
      </w:r>
      <w:r>
        <w:rPr>
          <w:u w:val="single"/>
        </w:rPr>
        <w:t xml:space="preserve">for delinquent utility service charges</w:t>
      </w:r>
      <w:r>
        <w:rPr/>
        <w:t xml:space="preserve"> or satisfaction of lien.</w:t>
      </w:r>
    </w:p>
    <w:p/>
    <w:p>
      <w:pPr>
        <w:jc w:val="center"/>
      </w:pPr>
      <w:r>
        <w:rPr>
          <w:b/>
        </w:rPr>
        <w:t>--- END ---</w:t>
      </w:r>
    </w:p>
    <w:sectPr>
      <w:pgNumType w:start="1"/>
      <w:footerReference xmlns:r="http://schemas.openxmlformats.org/officeDocument/2006/relationships" r:id="Rba38505d08814b0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153368b01c4f95" /><Relationship Type="http://schemas.openxmlformats.org/officeDocument/2006/relationships/footer" Target="/word/footer.xml" Id="Rba38505d08814b05" /></Relationships>
</file>