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5bb5b293d94139" /></Relationships>
</file>

<file path=word/document.xml><?xml version="1.0" encoding="utf-8"?>
<w:document xmlns:w="http://schemas.openxmlformats.org/wordprocessingml/2006/main">
  <w:body>
    <w:p>
      <w:r>
        <w:t>H-3997.1</w:t>
      </w:r>
    </w:p>
    <w:p>
      <w:pPr>
        <w:jc w:val="center"/>
      </w:pPr>
      <w:r>
        <w:t>_______________________________________________</w:t>
      </w:r>
    </w:p>
    <w:p/>
    <w:p>
      <w:pPr>
        <w:jc w:val="center"/>
      </w:pPr>
      <w:r>
        <w:rPr>
          <w:b/>
        </w:rPr>
        <w:t>SUBSTITUTE HOUSE BILL 2449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Orwall, Magendanz, Kagi, Santos, Senn, Peterson, Appleton, Moscoso, Goodman, Jinkins, Walkinshaw, Stanford, Clibborn, Sells, Fitzgibbon, Kilduff, Ryu, Bergquist, Pollet, and S. Hunt)</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28A.225.025, 28A.225.035, 28A.225.090, 43.185C.315, and 43.185C.320; adding new sections to chapter 28A.225 RCW; adding a new section to chapter 43.185C RCW; adding a new section to chapter 2.56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attendance really matters, and that poor school attendance can have far-reaching effects on academic performance and achievement, development of social skills and school engagement, dropout rates, and even college completion rates. According to an August 2014 report by Attendance Works titled "Absences Add Up: How School Attendance Influences Student Success," students who missed more school than their peers scored lower on the 2013 national assessment for educational progress (NAEP). This was true at every age, in every racial and ethnic group, and in every state and city examined in the state-by-state analysis, and reinforced other research that has shown that: Poor attendance in the first month of school can predict chronic absence for the entire year; absenteeism in kindergarten can affect whether a child develops necessary grit and perseverance; absenteeism in preschool and kindergarten can influence whether a child will master reading by the end of third grade or be held back; absenteeism in middle and high school can predict dropout rates; absenteeism influences not just chances for graduating but also for completing college; improving attendance is important for reducing educational opportunity gaps; and when students reduce absences, they can make academic gains.</w:t>
      </w:r>
    </w:p>
    <w:p>
      <w:pPr>
        <w:spacing w:before="0" w:after="0" w:line="408" w:lineRule="exact"/>
        <w:ind w:left="0" w:right="0" w:firstLine="576"/>
        <w:jc w:val="left"/>
      </w:pPr>
      <w:r>
        <w:rPr/>
        <w:t xml:space="preserve">The legislature further finds that these effects occur regardless of whether excessive absenteeism is considered excused or unexcused or the specific reason or reasons for excessive absenteeism. By taking a three-pronged approach, focusing not just on truancy but on school attendance in general,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therapeutic prevention and intervention and that regularly stay truancy petitions in order to first allow these boards to identify barriers to school attendance, cooperatively solve problems, and connect students and their families with needed academic supports and community-based services, and that turn to court orders only as a last resort.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therapeutic truancy boards; and to employ other best practices, including the provision of training for board members and other school and court personnel on trauma-informed approaches to discipline, the research regarding adverse childhood experiences,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 as well as those that have been shown to be culturally appropriate promising practices.</w:t>
      </w:r>
    </w:p>
    <w:p>
      <w:pPr>
        <w:spacing w:before="0" w:after="0" w:line="408" w:lineRule="exact"/>
        <w:ind w:left="0" w:right="0" w:firstLine="576"/>
        <w:jc w:val="left"/>
      </w:pPr>
      <w:r>
        <w:rPr/>
        <w:t xml:space="preserve">Third, the legislature recognizes that there are instances in which individual barriers to school attendance that have led to a student's absences may be best addressed by providing access to a bed in a HOPE center. The legislature further recognizes that even when a student is found in contempt of a court order to attend school, it is best practice that the student not be placed in juvenile detention but, where feasible and available, instead be placed in a crisis residential center. The legislature intends to increase the number of beds in HOPE centers and crisis residential centers in order to facilitate their use for these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Provision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district employee who is a nurse, counselor, social worker,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Operation of a school truancy board does not excuse a district from the obligation of filing a petition within the requirements of RCW 28A.225.015(3).</w:t>
      </w:r>
    </w:p>
    <w:p>
      <w:pPr>
        <w:spacing w:before="0" w:after="0" w:line="408" w:lineRule="exact"/>
        <w:ind w:left="0" w:right="0" w:firstLine="576"/>
        <w:jc w:val="left"/>
      </w:pPr>
      <w:r>
        <w:rPr>
          <w:u w:val="single"/>
        </w:rPr>
        <w:t xml:space="preserve">(3) For purposes of this chapter, "therapeutic truancy board" means a community truancy board operated within existing resources pursuant to a memorandum of understanding between a school district and a juvenile court. All members of a therapeutic truancy board receive training with respect to the identification of barriers to school attendance, the use of the Washington assessment of the risks and needs of students (WARNS) or other assessment tools to identify the specific needs of individual children, trauma-informed approaches to discipline, the research regarding adverse childhood experiences, evidence-based treatments that have been found to be effective in supporting at-risk youth and their families as well as those that have been shown to be culturally appropriate promising practices, and the specific academic supports, services, and treatments available in the particular school, court, community, and elsewhere. A therapeutic truancy board identifies barriers to school attendance, cooperatively solves problems, connects students and their families with academic supports, community services, evidence-based services such as functional family therapy, and culturally appropriate promising practices, and may refer children to a HOPE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whether the child and parent are fluent in English,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and intervention and prevention efforts employed in order to substantially reduce the child's unexcused absences. Intervention and prevention efforts under this subsection may include referral to a community truancy board, preferably a therapeutic truancy board, use of the Washington assessment of the risks and needs of students (WARNS) or other assessment tools to identify the specific needs of individual children, the provision of academic services such as tutoring, credit retrieval and school reengagement supports, and community-based services, and the provision of evidence-based treatments that have been found to be effective in supporting at-risk youth and their families and those that have been shown to be culturally appropriate promising practices.</w:t>
      </w:r>
    </w:p>
    <w:p>
      <w:pPr>
        <w:spacing w:before="0" w:after="0" w:line="408" w:lineRule="exact"/>
        <w:ind w:left="0" w:right="0" w:firstLine="576"/>
        <w:jc w:val="left"/>
      </w:pPr>
      <w:r>
        <w:rPr>
          <w:u w:val="single"/>
        </w:rPr>
        <w:t xml:space="preserve">(b) If intervention and prevention efforts under (a) of this subsection are unsuccessful at substantially reducing the child's unexcused absences, the stay shall be lifted and</w:t>
      </w:r>
      <w:r>
        <w:rPr/>
        <w:t xml:space="preserve"> the juvenile court shall schedule a hearing at which the court shall consider the petition, or if the court determines that </w:t>
      </w:r>
      <w:r>
        <w:t>((</w:t>
      </w:r>
      <w:r>
        <w:rPr>
          <w:strike/>
        </w:rPr>
        <w:t xml:space="preserve">a</w:t>
      </w:r>
      <w:r>
        <w:t>))</w:t>
      </w:r>
      <w:r>
        <w:rPr/>
        <w:t xml:space="preserve"> </w:t>
      </w:r>
      <w:r>
        <w:rPr>
          <w:u w:val="single"/>
        </w:rPr>
        <w:t xml:space="preserve">an initial or subsequent</w:t>
      </w:r>
      <w:r>
        <w:rPr/>
        <w:t xml:space="preserve"> referral to an  available community truancy board would substantially reduce the child's unexcused absences, the court may refer the case to a community truancy board under the jurisdiction of the juvenile court.</w:t>
      </w:r>
    </w:p>
    <w:p>
      <w:pPr>
        <w:spacing w:before="0" w:after="0" w:line="408" w:lineRule="exact"/>
        <w:ind w:left="0" w:right="0" w:firstLine="576"/>
        <w:jc w:val="left"/>
      </w:pPr>
      <w:r>
        <w:rPr/>
        <w:t xml:space="preserve">(5) If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the preferred practice is for notice to be provided in a language in which the parent is fluent;</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therapeutic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therapeutic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therapeutic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or</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in order to accommodate truant students found in contempt of a court order to attend school. The additional capacity shall be distributed around the state based upon need and, to the extent feasible, shall be geographically situated so that crisis residential centers are available for use by all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therapeutic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conduct a study of local practices that address truancy. The study must include:</w:t>
      </w:r>
    </w:p>
    <w:p>
      <w:pPr>
        <w:spacing w:before="0" w:after="0" w:line="408" w:lineRule="exact"/>
        <w:ind w:left="0" w:right="0" w:firstLine="576"/>
        <w:jc w:val="left"/>
      </w:pPr>
      <w:r>
        <w:rPr/>
        <w:t xml:space="preserve">(a) A systematic review of the research literature on the effectiveness of the various practices in reducing absenteeism, fostering school engagement, improving academic performance and achievement, increasing graduation rates, and decreasing dropout rates; and</w:t>
      </w:r>
    </w:p>
    <w:p>
      <w:pPr>
        <w:spacing w:before="0" w:after="0" w:line="408" w:lineRule="exact"/>
        <w:ind w:left="0" w:right="0" w:firstLine="576"/>
        <w:jc w:val="left"/>
      </w:pPr>
      <w:r>
        <w:rPr/>
        <w:t xml:space="preserve">(b) An outcome evaluation of the impact on the outcomes listed in (a) of this subsection from local practices including, but not limited to, therapeutic truancy boards under RCW 28A.225.025 and section 6 of this act.</w:t>
      </w:r>
    </w:p>
    <w:p>
      <w:pPr>
        <w:spacing w:before="0" w:after="0" w:line="408" w:lineRule="exact"/>
        <w:ind w:left="0" w:right="0" w:firstLine="576"/>
        <w:jc w:val="left"/>
      </w:pPr>
      <w:r>
        <w:rPr/>
        <w:t xml:space="preserve">(2) In conducting its analysis, the Washington state institute for public policy may consult with employees and access data systems of the office of the superintendent of public instruction, any educational service district or school district, and the administrative office of the courts, each of which shall provide the Washington state institute for public policy with access to necessary data and administrative systems.</w:t>
      </w:r>
    </w:p>
    <w:p>
      <w:pPr>
        <w:spacing w:before="0" w:after="0" w:line="408" w:lineRule="exact"/>
        <w:ind w:left="0" w:right="0" w:firstLine="576"/>
        <w:jc w:val="left"/>
      </w:pPr>
      <w:r>
        <w:rPr/>
        <w:t xml:space="preserve">(3) The Washington state institute for public policy shall report the findings of the study under subsection (1)(a) of this section to the appropriate committees of the legislature by December 1, 2017, and the findings of the evaluation under subsection (1)(b) of this section by December 1, 2022.</w:t>
      </w:r>
    </w:p>
    <w:p>
      <w:pPr>
        <w:spacing w:before="0" w:after="0" w:line="408" w:lineRule="exact"/>
        <w:ind w:left="0" w:right="0" w:firstLine="576"/>
        <w:jc w:val="left"/>
      </w:pPr>
      <w:r>
        <w:rPr/>
        <w:t xml:space="preserve">(4)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 Courts are also encouraged to report individual-level data reflecting whether a detention alternative, such as electronic monitoring, was used, and the time spent in detention alternatives. The administrative office of the courts and the juvenile court administrators must work to develop uniform data standards for detention.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keeping kids in school act.</w:t>
      </w:r>
    </w:p>
    <w:p/>
    <w:p>
      <w:pPr>
        <w:jc w:val="center"/>
      </w:pPr>
      <w:r>
        <w:rPr>
          <w:b/>
        </w:rPr>
        <w:t>--- END ---</w:t>
      </w:r>
    </w:p>
    <w:sectPr>
      <w:pgNumType w:start="1"/>
      <w:footerReference xmlns:r="http://schemas.openxmlformats.org/officeDocument/2006/relationships" r:id="R16ce802871d846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d886629f640f8" /><Relationship Type="http://schemas.openxmlformats.org/officeDocument/2006/relationships/footer" Target="/word/footer.xml" Id="R16ce802871d8460c" /></Relationships>
</file>