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bf627e59647f7" /></Relationships>
</file>

<file path=word/document.xml><?xml version="1.0" encoding="utf-8"?>
<w:document xmlns:w="http://schemas.openxmlformats.org/wordprocessingml/2006/main">
  <w:body>
    <w:p>
      <w:r>
        <w:t>Z-0601.5</w:t>
      </w:r>
    </w:p>
    <w:p>
      <w:pPr>
        <w:jc w:val="center"/>
      </w:pPr>
      <w:r>
        <w:t>_______________________________________________</w:t>
      </w:r>
    </w:p>
    <w:p/>
    <w:p>
      <w:pPr>
        <w:jc w:val="center"/>
      </w:pPr>
      <w:r>
        <w:rPr>
          <w:b/>
        </w:rPr>
        <w:t>HOUSE BILL 2522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and Kilduff;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crimes related to minors entering, remaining in, or being served by a marijuana retail outlet; amending RCW 69.50.357;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0" w:after="0" w:line="408" w:lineRule="exact"/>
        <w:ind w:left="0" w:right="0" w:firstLine="576"/>
        <w:jc w:val="left"/>
      </w:pPr>
      <w:r>
        <w:rPr>
          <w:u w:val="single"/>
        </w:rPr>
        <w:t xml:space="preserve">(7) Except as otherwise provided by this section, it is a gross misdemeanor</w:t>
      </w:r>
      <w:r>
        <w:rPr>
          <w:u w:val="single"/>
        </w:rPr>
        <w:t xml:space="preserve"> to serve or allow any person under twenty-one years of age to enter or remain in any area of a retail outlet licensed by the state liquor and cannabis board.</w:t>
      </w:r>
    </w:p>
    <w:p>
      <w:pPr>
        <w:spacing w:before="0" w:after="0" w:line="408" w:lineRule="exact"/>
        <w:ind w:left="0" w:right="0" w:firstLine="576"/>
        <w:jc w:val="left"/>
      </w:pPr>
      <w:r>
        <w:rPr>
          <w:u w:val="single"/>
        </w:rPr>
        <w:t xml:space="preserve">(8) Except as otherwise provided by this section, it is a misdemeanor for any person under the age of twenty-one years to:</w:t>
      </w:r>
    </w:p>
    <w:p>
      <w:pPr>
        <w:spacing w:before="0" w:after="0" w:line="408" w:lineRule="exact"/>
        <w:ind w:left="0" w:right="0" w:firstLine="576"/>
        <w:jc w:val="left"/>
      </w:pPr>
      <w:r>
        <w:rPr>
          <w:u w:val="single"/>
        </w:rPr>
        <w:t xml:space="preserve">(a) Enter or remain in any retail outlet licensed by the state liquor and cannabis board; or</w:t>
      </w:r>
    </w:p>
    <w:p>
      <w:pPr>
        <w:spacing w:before="0" w:after="0" w:line="408" w:lineRule="exact"/>
        <w:ind w:left="0" w:right="0" w:firstLine="576"/>
        <w:jc w:val="left"/>
      </w:pPr>
      <w:r>
        <w:rPr>
          <w:u w:val="single"/>
        </w:rPr>
        <w:t xml:space="preserve">(b) Represent his or her age as being twenty-one or more years for the purpose of purchasing marijuana or entering or remaining in a retail outlet licensed by the state liquor and cannabis board.</w:t>
      </w:r>
    </w:p>
    <w:p>
      <w:pPr>
        <w:spacing w:before="0" w:after="0" w:line="408" w:lineRule="exact"/>
        <w:ind w:left="0" w:right="0" w:firstLine="576"/>
        <w:jc w:val="left"/>
      </w:pPr>
      <w:r>
        <w:rPr>
          <w:u w:val="single"/>
        </w:rPr>
        <w:t xml:space="preserve">(9) Subsections (7) and (8) of this section do not apply to persons between the ages of eighteen and twenty-one years who are participating in a controlled purchase program, as authorized by this chapter, under rules adopted by the state liquor and cannabis board.</w:t>
      </w:r>
    </w:p>
    <w:p/>
    <w:p>
      <w:pPr>
        <w:jc w:val="center"/>
      </w:pPr>
      <w:r>
        <w:rPr>
          <w:b/>
        </w:rPr>
        <w:t>--- END ---</w:t>
      </w:r>
    </w:p>
    <w:sectPr>
      <w:pgNumType w:start="1"/>
      <w:footerReference xmlns:r="http://schemas.openxmlformats.org/officeDocument/2006/relationships" r:id="R4f182046190a48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db445bedbd4eb0" /><Relationship Type="http://schemas.openxmlformats.org/officeDocument/2006/relationships/footer" Target="/word/footer.xml" Id="R4f182046190a48f3" /></Relationships>
</file>