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4693be20e41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Jinkins, Ryu, Fey, Santos, and Frame)</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disposing tax foreclosed property to cities for affordable housing purposes; and amending RCW 36.35.150.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ind w:left="0" w:right="0" w:firstLine="360"/>
        <w:jc w:val="both"/>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ind w:left="0" w:right="0" w:firstLine="360"/>
        <w:jc w:val="both"/>
      </w:pPr>
      <w:r>
        <w:rPr>
          <w:u w:val="single"/>
        </w:rPr>
        <w:t xml:space="preserve">(2) Except when a public agency purchases the tax-foreclosed property for public purposes,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original minimum bid under RCW 84.64.080. If the city chooses to purchase the property, the following conditions apply:</w:t>
      </w:r>
    </w:p>
    <w:p>
      <w:pPr>
        <w:ind w:left="0" w:right="0" w:firstLine="360"/>
        <w:jc w:val="both"/>
      </w:pPr>
      <w:r>
        <w:rPr>
          <w:u w:val="single"/>
        </w:rPr>
        <w:t xml:space="preserve">(a) The city must accept the offer within thirty days of receiving notice, unless the county agrees to extend the offer;</w:t>
      </w:r>
    </w:p>
    <w:p>
      <w:pPr>
        <w:ind w:left="0" w:right="0" w:firstLine="360"/>
        <w:jc w:val="both"/>
      </w:pPr>
      <w:r>
        <w:rPr>
          <w:u w:val="single"/>
        </w:rPr>
        <w:t xml:space="preserve">(b) The city must provide that the property is suitable and will be used for an affordable housing development as defined in RCW 36.130.010; and</w:t>
      </w:r>
    </w:p>
    <w:p>
      <w:pPr>
        <w:ind w:left="0" w:right="0" w:firstLine="360"/>
        <w:jc w:val="both"/>
      </w:pPr>
      <w:r>
        <w:rPr>
          <w:u w:val="single"/>
        </w:rPr>
        <w:t xml:space="preserve">(c) The city must agree to transfer the property to a local housing authority or other nonprofit entity eligible to receive assistance from the affordable housing program under chapter 43.185A RCW. The city must be reimbursed for the amount it paid to purchase the property from the housing authority or other nonprofit entity.</w:t>
      </w:r>
    </w:p>
    <w:p/>
    <w:p>
      <w:pPr>
        <w:jc w:val="center"/>
      </w:pPr>
      <w:r>
        <w:rPr>
          <w:b/>
        </w:rPr>
        <w:t>--- END ---</w:t>
      </w:r>
    </w:p>
    <w:sectPr>
      <w:pgNumType w:start="1"/>
      <w:footerReference xmlns:r="http://schemas.openxmlformats.org/officeDocument/2006/relationships" r:id="Raeb4d901f77545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b680bd4a24527" /><Relationship Type="http://schemas.openxmlformats.org/officeDocument/2006/relationships/footer" Target="/word/footer.xml" Id="Raeb4d901f77545cb" /></Relationships>
</file>