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ca051884574390" /></Relationships>
</file>

<file path=word/document.xml><?xml version="1.0" encoding="utf-8"?>
<w:document xmlns:w="http://schemas.openxmlformats.org/wordprocessingml/2006/main">
  <w:body>
    <w:p>
      <w:r>
        <w:t>H-3663.1</w:t>
      </w:r>
    </w:p>
    <w:p>
      <w:pPr>
        <w:jc w:val="center"/>
      </w:pPr>
      <w:r>
        <w:t>_______________________________________________</w:t>
      </w:r>
    </w:p>
    <w:p/>
    <w:p>
      <w:pPr>
        <w:jc w:val="center"/>
      </w:pPr>
      <w:r>
        <w:rPr>
          <w:b/>
        </w:rPr>
        <w:t>HOUSE BILL 2731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Appleton and Johnson</w:t>
      </w:r>
    </w:p>
    <w:p/>
    <w:p>
      <w:r>
        <w:rPr>
          <w:t xml:space="preserve">Read first time 01/19/16.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candidates appearing on the ballot when two or fewer candidates file; and amending RCW 29A.52.112 and 42.17A.405.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 Based upon votes cast at the primary, the top two candidates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rPr/>
        <w:t xml:space="preserve">(3) No primary may be held for any single </w:t>
      </w:r>
      <w:r>
        <w:t>((</w:t>
      </w:r>
      <w:r>
        <w:rPr>
          <w:strike/>
        </w:rPr>
        <w:t xml:space="preserve">county</w:t>
      </w:r>
      <w:r>
        <w:t>))</w:t>
      </w:r>
      <w:r>
        <w:rPr/>
        <w:t xml:space="preserve"> </w:t>
      </w:r>
      <w:r>
        <w:rPr>
          <w:u w:val="single"/>
        </w:rPr>
        <w:t xml:space="preserve">position in any</w:t>
      </w:r>
      <w:r>
        <w:rPr/>
        <w:t xml:space="preserve"> partisan </w:t>
      </w:r>
      <w:r>
        <w:t>((</w:t>
      </w:r>
      <w:r>
        <w:rPr>
          <w:strike/>
        </w:rPr>
        <w:t xml:space="preserve">office to fill an unexpired term if, after the last day allowed for candidates to withdraw, only one</w:t>
      </w:r>
      <w:r>
        <w:t>))</w:t>
      </w:r>
      <w:r>
        <w:rPr/>
        <w:t xml:space="preserve"> </w:t>
      </w:r>
      <w:r>
        <w:rPr>
          <w:u w:val="single"/>
        </w:rPr>
        <w:t xml:space="preserve">primary if, after the last day allowed for candidates to withdraw, there are no more than two</w:t>
      </w:r>
      <w:r>
        <w:rPr/>
        <w:t xml:space="preserve"> candidate</w:t>
      </w:r>
      <w:r>
        <w:rPr>
          <w:u w:val="single"/>
        </w:rPr>
        <w:t xml:space="preserve">s</w:t>
      </w:r>
      <w:r>
        <w:rPr/>
        <w:t xml:space="preserve"> </w:t>
      </w:r>
      <w:r>
        <w:t>((</w:t>
      </w:r>
      <w:r>
        <w:rPr>
          <w:strike/>
        </w:rPr>
        <w:t xml:space="preserve">has</w:t>
      </w:r>
      <w:r>
        <w:t>))</w:t>
      </w:r>
      <w:r>
        <w:rPr/>
        <w:t xml:space="preserve"> </w:t>
      </w:r>
      <w:r>
        <w:rPr>
          <w:u w:val="single"/>
        </w:rPr>
        <w:t xml:space="preserve">who have</w:t>
      </w:r>
      <w:r>
        <w:rPr/>
        <w:t xml:space="preserve"> filed for the position. </w:t>
      </w:r>
      <w:r>
        <w:rPr>
          <w:u w:val="single"/>
        </w:rPr>
        <w:t xml:space="preserve">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special purpose district office if that district is authorized to provide freight and passenger transfer and terminal facilities and that district has over two hundred thousand registered voters;</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special purpose district or a state office other than a legislative office that in the aggregate exceed one thousand six hundred dollars for each election in which the candidate is on the ballot or appears as a write-in candidate</w:t>
      </w:r>
      <w:r>
        <w:rPr>
          <w:u w:val="single"/>
        </w:rPr>
        <w:t xml:space="preserve">; PROVIDED, contributions that in the aggregate do not exceed one thousand six hundred dollars may be made to any candidate who does not appear on the ballot due to operation of RCW 29A.52.112 or 29A.52.220</w:t>
      </w:r>
      <w:r>
        <w:rPr/>
        <w:t xml:space="preserv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special purpose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special purpose district during a recall campaign that in the aggregate exceed eight hundred dollars if for a legislative office, county office, school board office, public hospital district office, or city office, or one thousand six hundred dollars if for a special purpose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special purpose district against whom recall charges have been filed, or to a political committee having the expectation of making expenditures in support of the state official, county official, city official, school board member, public hospital district commissioner, or a public official in a special purpose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
      <w:pPr>
        <w:jc w:val="center"/>
      </w:pPr>
      <w:r>
        <w:rPr>
          <w:b/>
        </w:rPr>
        <w:t>--- END ---</w:t>
      </w:r>
    </w:p>
    <w:sectPr>
      <w:pgNumType w:start="1"/>
      <w:footerReference xmlns:r="http://schemas.openxmlformats.org/officeDocument/2006/relationships" r:id="Re70d1fa6044d4d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81196e1584362" /><Relationship Type="http://schemas.openxmlformats.org/officeDocument/2006/relationships/footer" Target="/word/footer.xml" Id="Re70d1fa6044d4d32" /></Relationships>
</file>