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f89862993a454f" /></Relationships>
</file>

<file path=word/document.xml><?xml version="1.0" encoding="utf-8"?>
<w:document xmlns:w="http://schemas.openxmlformats.org/wordprocessingml/2006/main">
  <w:body>
    <w:p>
      <w:r>
        <w:t>H-3634.1</w:t>
      </w:r>
    </w:p>
    <w:p>
      <w:pPr>
        <w:jc w:val="center"/>
      </w:pPr>
      <w:r>
        <w:t>_______________________________________________</w:t>
      </w:r>
    </w:p>
    <w:p/>
    <w:p>
      <w:pPr>
        <w:jc w:val="center"/>
      </w:pPr>
      <w:r>
        <w:rPr>
          <w:b/>
        </w:rPr>
        <w:t>HOUSE BILL 2817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Pettigrew, Appleton, Orwall, Sawyer, Ryu, Stanford, Pollet, Hickel, Bergquist, and Santos</w:t>
      </w:r>
    </w:p>
    <w:p/>
    <w:p>
      <w:r>
        <w:rPr>
          <w:t xml:space="preserve">Read first time 01/21/16.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entity, the office of the corrections ombuds, to work for improved conditions and programs, and support fair treatment of inmates in Washington state. The legislature further intends that the ombuds support changes that facilitate the successful reentry of inmates into the community, and promote high standards of justice, accountability, and transparency in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July 1, 2016,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and the governor with recommendations regarding the ombuds budget and changes in the law that would enhance the ombuds effectiveness.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council membership in subsection (2) of this section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Washington state.</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An individual with dispute resolution training who has experience working in the criminal justice or corrections fields.</w:t>
      </w:r>
    </w:p>
    <w:p>
      <w:pPr>
        <w:spacing w:before="0" w:after="0" w:line="408" w:lineRule="exact"/>
        <w:ind w:left="0" w:right="0" w:firstLine="576"/>
        <w:jc w:val="left"/>
      </w:pPr>
      <w:r>
        <w:rPr/>
        <w:t xml:space="preserve">(4) The governor shall select the following two additional members of the council:</w:t>
      </w:r>
    </w:p>
    <w:p>
      <w:pPr>
        <w:spacing w:before="0" w:after="0" w:line="408" w:lineRule="exact"/>
        <w:ind w:left="0" w:right="0" w:firstLine="576"/>
        <w:jc w:val="left"/>
      </w:pPr>
      <w:r>
        <w:rPr/>
        <w:t xml:space="preserve">(a) A representative of the department.</w:t>
      </w:r>
    </w:p>
    <w:p>
      <w:pPr>
        <w:spacing w:before="0" w:after="0" w:line="408" w:lineRule="exact"/>
        <w:ind w:left="0" w:right="0" w:firstLine="576"/>
        <w:jc w:val="left"/>
      </w:pPr>
      <w:r>
        <w:rPr/>
        <w:t xml:space="preserve">(b) A representative of the collective bargaining unit of employees of the department.</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 members serve a term of three years, except that the council shall create and implement a system of staggered terms, and no member may serve more than two consecutive terms. The council shall convene at least quarterly. Council 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Commence litigation, but state funds may not be used for purposes of litigation.</w:t>
      </w:r>
    </w:p>
    <w:p>
      <w:pPr>
        <w:spacing w:before="0" w:after="0" w:line="408" w:lineRule="exact"/>
        <w:ind w:left="0" w:right="0" w:firstLine="576"/>
        <w:jc w:val="left"/>
      </w:pPr>
      <w:r>
        <w:rPr/>
        <w:t xml:space="preserve">(iii)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unaccompanied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unaccompanied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Unaccompanied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If the department or a department employee denies access to any premises under the control of the department to the ombuds, or subcontractors or volunteers who are performing ombuds functions or acting under the supervision of the ombuds, the department is liable for a fine of up to one thousand dollars per day of denied access.</w:t>
      </w:r>
    </w:p>
    <w:p>
      <w:pPr>
        <w:spacing w:before="0" w:after="0" w:line="408" w:lineRule="exact"/>
        <w:ind w:left="0" w:right="0" w:firstLine="576"/>
        <w:jc w:val="left"/>
      </w:pPr>
      <w:r>
        <w:rPr/>
        <w:t xml:space="preserve">(5)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(6)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between the office and an inmate is confidential and must be processed as privileged correspondence in the same manner as legal correspondence between inmates and courts, attorneys, or public officials.</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 If the department or a department employee willfully hinders the lawful actions of the ombuds or willfully refuses to comply with the lawful demands of the ombuds, the department is liable to a fine of up to one thousand dollars per incident of hindrance or noncompliance.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fc021f848f341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543acdeae4812" /><Relationship Type="http://schemas.openxmlformats.org/officeDocument/2006/relationships/footer" Target="/word/footer.xml" Id="R6fc021f848f3411e" /></Relationships>
</file>