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6ac563ce648d4" /></Relationships>
</file>

<file path=word/document.xml><?xml version="1.0" encoding="utf-8"?>
<w:document xmlns:w="http://schemas.openxmlformats.org/wordprocessingml/2006/main">
  <w:body>
    <w:p>
      <w:r>
        <w:t>H-4054.2</w:t>
      </w:r>
    </w:p>
    <w:p>
      <w:pPr>
        <w:jc w:val="center"/>
      </w:pPr>
      <w:r>
        <w:t>_______________________________________________</w:t>
      </w:r>
    </w:p>
    <w:p/>
    <w:p>
      <w:pPr>
        <w:jc w:val="center"/>
      </w:pPr>
      <w:r>
        <w:rPr>
          <w:b/>
        </w:rPr>
        <w:t>SUBSTITUTE HOUSE BILL 2859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S. Hunt, Hudgins,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report security freezes; adding new sections to chapter 19.182 RCW; adding a new section to chapter 70.58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section 2 of this act;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section 2 of this act;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section 2 of this act; and</w:t>
      </w:r>
    </w:p>
    <w:p>
      <w:pPr>
        <w:spacing w:before="0" w:after="0" w:line="408" w:lineRule="exact"/>
        <w:ind w:left="0" w:right="0" w:firstLine="576"/>
        <w:jc w:val="left"/>
      </w:pPr>
      <w:r>
        <w:rPr/>
        <w:t xml:space="preserve">(ii) Prohibits the consumer reporting agency from releasing the protected consumer's record except as provided in section 2 of this act;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section 2 of this act;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section 2 of this act.</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w:t>
      </w:r>
    </w:p>
    <w:p>
      <w:pPr>
        <w:spacing w:before="0" w:after="0" w:line="408" w:lineRule="exact"/>
        <w:ind w:left="0" w:right="0" w:firstLine="576"/>
        <w:jc w:val="left"/>
      </w:pPr>
      <w:r>
        <w:rPr/>
        <w:t xml:space="preserve">(iii) Provides to the consumer reporting agency sufficient proof of authority to act on behalf of the protected consumer; and</w:t>
      </w:r>
    </w:p>
    <w:p>
      <w:pPr>
        <w:spacing w:before="0" w:after="0" w:line="408" w:lineRule="exact"/>
        <w:ind w:left="0" w:right="0" w:firstLine="576"/>
        <w:jc w:val="left"/>
      </w:pPr>
      <w:r>
        <w:rPr/>
        <w:t xml:space="preserve">(iv) Pays to the consumer reporting agency a fee as provided in this section.</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 and</w:t>
      </w:r>
    </w:p>
    <w:p>
      <w:pPr>
        <w:spacing w:before="0" w:after="0" w:line="408" w:lineRule="exact"/>
        <w:ind w:left="0" w:right="0" w:firstLine="576"/>
        <w:jc w:val="left"/>
      </w:pPr>
      <w:r>
        <w:rPr/>
        <w:t xml:space="preserve">(iii) In any case, pay to the consumer reporting agency a fee as provided in this section.</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(8)(a) Except as provided in (b) of this subsection, a consumer reporting agency may not charge a fee for any service performed under this section.</w:t>
      </w:r>
    </w:p>
    <w:p>
      <w:pPr>
        <w:spacing w:before="0" w:after="0" w:line="408" w:lineRule="exact"/>
        <w:ind w:left="0" w:right="0" w:firstLine="576"/>
        <w:jc w:val="left"/>
      </w:pPr>
      <w:r>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t xml:space="preserve">(c) A consumer reporting agency may not charge any fee under this section if:</w:t>
      </w:r>
    </w:p>
    <w:p>
      <w:pPr>
        <w:spacing w:before="0" w:after="0" w:line="408" w:lineRule="exact"/>
        <w:ind w:left="0" w:right="0" w:firstLine="576"/>
        <w:jc w:val="left"/>
      </w:pPr>
      <w:r>
        <w:rPr/>
        <w:t xml:space="preserve">(i) The protected consumer's representative:</w:t>
      </w:r>
    </w:p>
    <w:p>
      <w:pPr>
        <w:spacing w:before="0" w:after="0" w:line="408" w:lineRule="exact"/>
        <w:ind w:left="0" w:right="0" w:firstLine="576"/>
        <w:jc w:val="left"/>
      </w:pPr>
      <w:r>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t xml:space="preserve">(B) Provides a copy of the report to the consumer reporting agency; or</w:t>
      </w:r>
    </w:p>
    <w:p>
      <w:pPr>
        <w:spacing w:before="0" w:after="0" w:line="408" w:lineRule="exact"/>
        <w:ind w:left="0" w:right="0" w:firstLine="576"/>
        <w:jc w:val="left"/>
      </w:pPr>
      <w:r>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t xml:space="preserve">(B) The consumer reporting agency has a consumer report pertaining to the protected consumer.</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issuer of a certified birth certificate shall include information prepared by the department setting forth the advisability of a security freeze under section 2 of this act and the process for acquiring a security freeze.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50c60c82093a48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ad5ce4c6b4dfa" /><Relationship Type="http://schemas.openxmlformats.org/officeDocument/2006/relationships/footer" Target="/word/footer.xml" Id="R50c60c82093a48f5" /></Relationships>
</file>