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6c856be2504e2a" /></Relationships>
</file>

<file path=word/document.xml><?xml version="1.0" encoding="utf-8"?>
<w:document xmlns:w="http://schemas.openxmlformats.org/wordprocessingml/2006/main">
  <w:body>
    <w:p>
      <w:r>
        <w:t>H-4296.1</w:t>
      </w:r>
    </w:p>
    <w:p>
      <w:pPr>
        <w:jc w:val="center"/>
      </w:pPr>
      <w:r>
        <w:t>_______________________________________________</w:t>
      </w:r>
    </w:p>
    <w:p/>
    <w:p>
      <w:pPr>
        <w:jc w:val="center"/>
      </w:pPr>
      <w:r>
        <w:rPr>
          <w:b/>
        </w:rPr>
        <w:t>SUBSTITUTE HOUSE BILL 2878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Kilduff, Robinson, Muri,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penalty assessment for crimes involving the abuse of children used to support child advocacy centers; adding a new section to chapter 9A.44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thousand dollars on any adult offender convicted of a crime involving the physical abuse or sexual abuse of children.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must be used solely for the purposes of establishing and funding children's advocacy centers. If the city or county does not have a children's advocacy center, cities and counties may use the revenue collected from the assessment to contract with recognized community-based children's advocacy program providers.</w:t>
      </w:r>
    </w:p>
    <w:p>
      <w:pPr>
        <w:spacing w:before="0" w:after="0" w:line="408" w:lineRule="exact"/>
        <w:ind w:left="0" w:right="0" w:firstLine="576"/>
        <w:jc w:val="left"/>
      </w:pPr>
      <w:r>
        <w:rPr/>
        <w:t xml:space="preserve">(3) The assessment imposed under this section is not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(b) "Children's advocacy center" has the same meaning as that term is defined under RCW 26.44.020.</w:t>
      </w:r>
    </w:p>
    <w:p>
      <w:pPr>
        <w:spacing w:before="0" w:after="0" w:line="408" w:lineRule="exact"/>
        <w:ind w:left="0" w:right="0" w:firstLine="576"/>
        <w:jc w:val="left"/>
      </w:pPr>
      <w:r>
        <w:rPr/>
        <w:t xml:space="preserve">(5) The court may not order a defendant to pay the penalty assessment unless the defendant is or will be able to pay the penalty assessment. In determining whether to impose a penalty assessment, the court shall take account of the financial resources of the defendant and the nature of the burden that payment of the penalty assessment will impose. The court is encouraged to solicit input from the victim or his or her representatives in assessing the defendant's ability to pay the penalty assessment, including information regarding current financial obligations, family circumstances, and ongoing restitution.</w:t>
      </w:r>
    </w:p>
    <w:p/>
    <w:p>
      <w:pPr>
        <w:jc w:val="center"/>
      </w:pPr>
      <w:r>
        <w:rPr>
          <w:b/>
        </w:rPr>
        <w:t>--- END ---</w:t>
      </w:r>
    </w:p>
    <w:sectPr>
      <w:pgNumType w:start="1"/>
      <w:footerReference xmlns:r="http://schemas.openxmlformats.org/officeDocument/2006/relationships" r:id="Ra1fa7504674d41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e37377ed44331" /><Relationship Type="http://schemas.openxmlformats.org/officeDocument/2006/relationships/footer" Target="/word/footer.xml" Id="Ra1fa7504674d4127" /></Relationships>
</file>