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0cd5963b64a89" /></Relationships>
</file>

<file path=word/document.xml><?xml version="1.0" encoding="utf-8"?>
<w:document xmlns:w="http://schemas.openxmlformats.org/wordprocessingml/2006/main">
  <w:body>
    <w:p>
      <w:r>
        <w:t>H-4266.1</w:t>
      </w:r>
    </w:p>
    <w:p>
      <w:pPr>
        <w:jc w:val="center"/>
      </w:pPr>
      <w:r>
        <w:t>_______________________________________________</w:t>
      </w:r>
    </w:p>
    <w:p/>
    <w:p>
      <w:pPr>
        <w:jc w:val="center"/>
      </w:pPr>
      <w:r>
        <w:rPr>
          <w:b/>
        </w:rPr>
        <w:t>SUBSTITUTE HOUSE BILL 2904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Blake and Rossetti)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issuers to accept payments made by businesses solely owned by an enrollee; and amending RCW 48.43.059.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059</w:t>
      </w:r>
      <w:r>
        <w:rPr/>
        <w:t xml:space="preserve"> and 2015 c 284 s 2 are each amended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covered person, such that the covered person may authorize payments from the account.</w:t>
      </w:r>
    </w:p>
    <w:p>
      <w:pPr>
        <w:spacing w:before="0" w:after="0" w:line="408" w:lineRule="exact"/>
        <w:ind w:left="0" w:right="0" w:firstLine="576"/>
        <w:jc w:val="left"/>
      </w:pPr>
      <w:r>
        <w:rPr/>
        <w:t xml:space="preserve">(2) All issuers must accept any payments made by</w:t>
      </w:r>
      <w:r>
        <w:rPr>
          <w:u w:val="single"/>
        </w:rPr>
        <w:t xml:space="preserve">:</w:t>
      </w:r>
    </w:p>
    <w:p>
      <w:pPr>
        <w:spacing w:before="0" w:after="0" w:line="408" w:lineRule="exact"/>
        <w:ind w:left="0" w:right="0" w:firstLine="576"/>
        <w:jc w:val="left"/>
      </w:pPr>
      <w:r>
        <w:rPr>
          <w:u w:val="single"/>
        </w:rPr>
        <w:t xml:space="preserve">(a) A</w:t>
      </w:r>
      <w:r>
        <w:rPr/>
        <w:t xml:space="preserve"> second-party payment process; however, no issuer need accept payment by a second-party payment process if the second-party payer is controlled by or receives funding from any entity where such entity may be reimbursed by an issuer for providing health care services or if the account under the control of the covered person is funded by any such entity, except those third</w:t>
      </w:r>
      <w:r>
        <w:rPr/>
        <w:noBreakHyphen/>
      </w:r>
      <w:r>
        <w:rPr/>
        <w:t xml:space="preserve">party entities from whom federal law requires such issuer to accept payment</w:t>
      </w:r>
      <w:r>
        <w:rPr>
          <w:u w:val="single"/>
        </w:rPr>
        <w:t xml:space="preserve">; or</w:t>
      </w:r>
    </w:p>
    <w:p>
      <w:pPr>
        <w:spacing w:before="0" w:after="0" w:line="408" w:lineRule="exact"/>
        <w:ind w:left="0" w:right="0" w:firstLine="576"/>
        <w:jc w:val="left"/>
      </w:pPr>
      <w:r>
        <w:rPr>
          <w:u w:val="single"/>
        </w:rPr>
        <w:t xml:space="preserve">(b) A sole proprietor business for an individual policy that only covers the owner of the sole proprietor business if the business provides proof to the issuer of its sole proprietor company status. For purposes of this subsection (2)(b), proof to the issuer of a business' sole proprietor company status includes, but is not limited to, a written, owner-signed attestation of the business' sole proprietor company status</w:t>
      </w:r>
      <w:r>
        <w:rPr/>
        <w:t xml:space="preserve">.</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8b0e6d1e3d3141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da3802951453a" /><Relationship Type="http://schemas.openxmlformats.org/officeDocument/2006/relationships/footer" Target="/word/footer.xml" Id="R8b0e6d1e3d314173" /></Relationships>
</file>