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144b29c4f4795" /></Relationships>
</file>

<file path=word/document.xml><?xml version="1.0" encoding="utf-8"?>
<w:document xmlns:w="http://schemas.openxmlformats.org/wordprocessingml/2006/main">
  <w:body>
    <w:p>
      <w:r>
        <w:t>H-3852.2</w:t>
      </w:r>
    </w:p>
    <w:p>
      <w:pPr>
        <w:jc w:val="center"/>
      </w:pPr>
      <w:r>
        <w:t>_______________________________________________</w:t>
      </w:r>
    </w:p>
    <w:p/>
    <w:p>
      <w:pPr>
        <w:jc w:val="center"/>
      </w:pPr>
      <w:r>
        <w:rPr>
          <w:b/>
        </w:rPr>
        <w:t>HOUSE BILL 2908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Ryu, Ortiz-Self, Walkinshaw, Stanford, and Santos</w:t>
      </w:r>
    </w:p>
    <w:p/>
    <w:p>
      <w:r>
        <w:rPr>
          <w:t xml:space="preserve">Read first time 01/27/16.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community policing standards for a safer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The legislature finds that the law of deadly force in Washington provides absolute protection for law enforcement in virtually all instances, above and beyond that which is reasonable and justifiable. As such, the legislature finds that the law regarding use of deadly force in Washington does not reflect the expectations of law enforcement or the people of this state. The legislature also acknowledges that the current law on deadly force in Washington provides insufficient clarity for law enforcement on when deadly force is justifiable and when it is not.</w:t>
      </w:r>
    </w:p>
    <w:p>
      <w:pPr>
        <w:spacing w:before="0" w:after="0" w:line="408" w:lineRule="exact"/>
        <w:ind w:left="0" w:right="0" w:firstLine="576"/>
        <w:jc w:val="left"/>
      </w:pPr>
      <w:r>
        <w:rPr/>
        <w:t xml:space="preserve">The legislature acknowledges that the use of deadly force is a small part of the extensive training provided to law enforcement. The legislature finds that effective law enforcement training must embrace and promote a guardian mindset and culture; provide crisis deescalation tools to its officers; and value using the least necessary force to ensure the safety of both our officers and communities.</w:t>
      </w:r>
    </w:p>
    <w:p>
      <w:pPr>
        <w:spacing w:before="0" w:after="0" w:line="408" w:lineRule="exact"/>
        <w:ind w:left="0" w:right="0" w:firstLine="576"/>
        <w:jc w:val="left"/>
      </w:pPr>
      <w:r>
        <w:rPr/>
        <w:t xml:space="preserve">It is the intent of the legislature to improve our deadly force law in a manner that respects and supports the role of law enforcement to maintain public safety and foster accountability and public trust. As part of that effort, it is the intent of the legislature to consider the tools and training available to law enforcement in the context of safe community policing in order to protect both our citizens and the guardians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community policing standards for a safer Washington is established. The task force may be known and cited as the joint legislative task force on COPS for a safer Washington.</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thirteen members representing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Criminal justice training commission;</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Association of Washington cities;</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National association for the advancement of colored people or its designee;</w:t>
      </w:r>
    </w:p>
    <w:p>
      <w:pPr>
        <w:spacing w:before="0" w:after="0" w:line="408" w:lineRule="exact"/>
        <w:ind w:left="0" w:right="0" w:firstLine="576"/>
        <w:jc w:val="left"/>
      </w:pPr>
      <w:r>
        <w:rPr/>
        <w:t xml:space="preserve">(x) OneAmerica; and</w:t>
      </w:r>
    </w:p>
    <w:p>
      <w:pPr>
        <w:spacing w:before="0" w:after="0" w:line="408" w:lineRule="exact"/>
        <w:ind w:left="0" w:right="0" w:firstLine="576"/>
        <w:jc w:val="left"/>
      </w:pPr>
      <w:r>
        <w:rPr/>
        <w:t xml:space="preserve">(xi) Three other associations, community organizations, advocacy groups, or faith-based organizations with experience or interest in community policing.</w:t>
      </w:r>
    </w:p>
    <w:p>
      <w:pPr>
        <w:spacing w:before="0" w:after="0" w:line="408" w:lineRule="exact"/>
        <w:ind w:left="0" w:right="0" w:firstLine="576"/>
        <w:jc w:val="left"/>
      </w:pPr>
      <w:r>
        <w:rPr/>
        <w:t xml:space="preserve">(d) The attorney general shall appoint one representative from his or her office.</w:t>
      </w:r>
    </w:p>
    <w:p>
      <w:pPr>
        <w:spacing w:before="0" w:after="0" w:line="408" w:lineRule="exact"/>
        <w:ind w:left="0" w:right="0" w:firstLine="576"/>
        <w:jc w:val="left"/>
      </w:pPr>
      <w:r>
        <w:rPr/>
        <w:t xml:space="preserve">(e)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and discuss data collected and reported by the attorney general as directed by Senate Bill No. 6294, if passed in the 2016 legislative session, as well as other data reported on justifiable homicide or use of deadly force by public officers from other reputable sources;</w:t>
      </w:r>
    </w:p>
    <w:p>
      <w:pPr>
        <w:spacing w:before="0" w:after="0" w:line="408" w:lineRule="exact"/>
        <w:ind w:left="0" w:right="0" w:firstLine="576"/>
        <w:jc w:val="left"/>
      </w:pPr>
      <w:r>
        <w:rPr/>
        <w:t xml:space="preserve">(b) Review proposals and recommend modifications to the standards for justifiable homicide and criminal liability in RCW 9A.16.040 to assure adequate protection for law enforcement and the community;</w:t>
      </w:r>
    </w:p>
    <w:p>
      <w:pPr>
        <w:spacing w:before="0" w:after="0" w:line="408" w:lineRule="exact"/>
        <w:ind w:left="0" w:right="0" w:firstLine="576"/>
        <w:jc w:val="left"/>
      </w:pPr>
      <w:r>
        <w:rPr/>
        <w:t xml:space="preserve">(c) Review current practices and tools used by or otherwise available to law enforcement as an alternative to lethal uses of force, including tasers and other nonlethal weapons;</w:t>
      </w:r>
    </w:p>
    <w:p>
      <w:pPr>
        <w:spacing w:before="0" w:after="0" w:line="408" w:lineRule="exact"/>
        <w:ind w:left="0" w:right="0" w:firstLine="576"/>
        <w:jc w:val="left"/>
      </w:pPr>
      <w:r>
        <w:rPr/>
        <w:t xml:space="preserve">(d) Evaluate the availability of body cameras and similar tools, and determine whether such tools should be implemented to promote accountability, transparency, and safety for law enforcement and the community;</w:t>
      </w:r>
    </w:p>
    <w:p>
      <w:pPr>
        <w:spacing w:before="0" w:after="0" w:line="408" w:lineRule="exact"/>
        <w:ind w:left="0" w:right="0" w:firstLine="576"/>
        <w:jc w:val="left"/>
      </w:pPr>
      <w:r>
        <w:rPr/>
        <w:t xml:space="preserve">(e) Review current training curriculum and practices used by and otherwise available to law enforcement regarding use of force and evaluate whether the curriculum and practices conform to best practices for community policing; and</w:t>
      </w:r>
    </w:p>
    <w:p>
      <w:pPr>
        <w:spacing w:before="0" w:after="0" w:line="408" w:lineRule="exact"/>
        <w:ind w:left="0" w:right="0" w:firstLine="576"/>
        <w:jc w:val="left"/>
      </w:pPr>
      <w:r>
        <w:rPr/>
        <w:t xml:space="preserve">(f) Evaluate the public confidence in community policing practices and use of force policies in Washington.</w:t>
      </w:r>
    </w:p>
    <w:p>
      <w:pPr>
        <w:spacing w:before="0" w:after="0" w:line="408" w:lineRule="exact"/>
        <w:ind w:left="0" w:right="0" w:firstLine="576"/>
        <w:jc w:val="left"/>
      </w:pPr>
      <w:r>
        <w:rPr/>
        <w:t xml:space="preserve">(4) The task force shall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three meetings in 2016 and three meetings in 2017.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preliminary report, which may include findings and recommendations, to the governor and the appropriate committees of the legislature by December 1, 2016, and a final report with findings and recommendations to the governor and the appropriate committees of the legislature by December 1, 2017.</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July 1, 2018.</w:t>
      </w:r>
    </w:p>
    <w:p/>
    <w:p>
      <w:pPr>
        <w:jc w:val="center"/>
      </w:pPr>
      <w:r>
        <w:rPr>
          <w:b/>
        </w:rPr>
        <w:t>--- END ---</w:t>
      </w:r>
    </w:p>
    <w:sectPr>
      <w:pgNumType w:start="1"/>
      <w:footerReference xmlns:r="http://schemas.openxmlformats.org/officeDocument/2006/relationships" r:id="R8ac41bbac40b43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71ab3e26e4b56" /><Relationship Type="http://schemas.openxmlformats.org/officeDocument/2006/relationships/footer" Target="/word/footer.xml" Id="R8ac41bbac40b43eb" /></Relationships>
</file>