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58aa5c5154987" /></Relationships>
</file>

<file path=word/document.xml><?xml version="1.0" encoding="utf-8"?>
<w:document xmlns:w="http://schemas.openxmlformats.org/wordprocessingml/2006/main">
  <w:body>
    <w:p>
      <w:r>
        <w:t>H-1182.2</w:t>
      </w:r>
    </w:p>
    <w:p>
      <w:pPr>
        <w:jc w:val="center"/>
      </w:pPr>
      <w:r>
        <w:t>_______________________________________________</w:t>
      </w:r>
    </w:p>
    <w:p/>
    <w:p>
      <w:pPr>
        <w:jc w:val="center"/>
      </w:pPr>
      <w:r>
        <w:rPr>
          <w:b/>
        </w:rPr>
        <w:t>HOUSE JOINT RESOLUTION 4210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Muri, Santos, Orwall, Ryu, Hunter, Sells, Ormsby, Springer, Bergquist, Ortiz-Self, Kilduff, Moscoso, Peterson, Senn, Farrell, Hudgins, Fey, McBride, Fitzgibbon, Clibborn, Morris, Moeller, Takko, Wylie, Gregory, Riccelli, Walkinshaw, Hansen, Robinson, Kagi, Jinkins, Lytton, Tharinger, Goodman, Pettigrew, Cody, Carlyle, Sawyer, Stanford, Appleton, Dunshee, Tarleton, Van De Wege, and Pollet</w:t>
      </w:r>
    </w:p>
    <w:p/>
    <w:p>
      <w:r>
        <w:rPr>
          <w:t xml:space="preserve">Read first time 02/03/15.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Notwithstanding any other provision of this subsection, a proposition under this subsection by a school district to issue bonds, and to pay the principal and interest on the bonds by an annual tax levy during the term of the bonds in excess of the limitation in this section, may be authorized by a majority of the voters voting on the proposition at a general election, at which election the total number of voters voting on the proposition shall constitute not less than forty percent of the total number of voters voting in such taxing district at the last preceding general election.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 </w:t>
      </w:r>
    </w:p>
    <w:p>
      <w:pPr>
        <w:spacing w:before="12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u w:val="single"/>
        </w:rPr>
        <w:t xml:space="preserve">That the assent of a majority of the voters voting on the proposition at a general election is sufficient to authorize a school district to incur such debt: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 </w:t>
      </w:r>
    </w:p>
    <w:p>
      <w:pPr>
        <w:spacing w:before="120" w:after="0" w:line="408" w:lineRule="exact"/>
        <w:ind w:left="0" w:right="0" w:firstLine="576"/>
        <w:jc w:val="left"/>
      </w:pPr>
      <w:r>
        <w:rPr/>
        <w:t xml:space="preserve">BE IT FURTHER RESOLVED, That this amendment is a single amendment within the meaning of Article 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approval of school district bonds.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f3d6348cc45459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a6bb5931e4a58" /><Relationship Type="http://schemas.openxmlformats.org/officeDocument/2006/relationships/footer" Target="/word/footer.xml" Id="Rdf3d6348cc45459c" /></Relationships>
</file>