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b315caf5d49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38</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1004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Springer, Manweller, Moeller, Walsh, Blake, Buys, Reykdal, Wilcox, Condotta, Fey, Gregerson, and Sawyer</w:t>
      </w:r>
    </w:p>
    <w:p/>
    <w:p>
      <w:r>
        <w:rPr>
          <w:t xml:space="preserve">Prefiled 12/08/14.</w:t>
        </w:rPr>
      </w:r>
      <w:r>
        <w:rPr>
          <w:t xml:space="preserve">Read first time 01/12/15.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tasting by students under twenty-one years of age; and amending RCW 66.20.010 and 66.44.270.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r>
        <w:rPr>
          <w:u w:val="single"/>
        </w:rPr>
        <w:t xml:space="preserve">, a regional university, or a state university</w:t>
      </w:r>
      <w:r>
        <w:rPr/>
        <w:t xml:space="preserve">;</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t>
      </w:r>
      <w:r>
        <w:rPr>
          <w:u w:val="single"/>
        </w:rPr>
        <w:t xml:space="preserve">sommelier, wine business, enology, viticulture,</w:t>
      </w:r>
      <w:r>
        <w:rPr/>
        <w:t xml:space="preserv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2013 c 112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twenty-one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(2)(a) It is unlawful for any person under the age of twenty-one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twenty-one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(2)(b) does not apply if the person is in the presence of a parent or guardian or has consumed or is consuming liquor under circumstances described in subsection (4), (5), or </w:t>
      </w:r>
      <w:r>
        <w:t>((</w:t>
      </w:r>
      <w:r>
        <w:rPr>
          <w:strike/>
        </w:rPr>
        <w:t xml:space="preserve">(6)</w:t>
      </w:r>
      <w:r>
        <w:t>))</w:t>
      </w:r>
      <w:r>
        <w:rPr>
          <w:u w:val="single"/>
        </w:rPr>
        <w:t xml:space="preserve">(7)</w:t>
      </w:r>
      <w:r>
        <w:rPr/>
        <w:t xml:space="preserve"> of this section.</w:t>
      </w:r>
    </w:p>
    <w:p>
      <w:pPr>
        <w:spacing w:before="0" w:after="0" w:line="408" w:lineRule="exact"/>
        <w:ind w:left="0" w:right="0" w:firstLine="576"/>
        <w:jc w:val="left"/>
      </w:pPr>
      <w:r>
        <w:rPr/>
        <w:t xml:space="preserve">(3) Subsections (1) and (2)(a) of this section do not apply to liquor given or permitted to be given to a person under the age of twenty-one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rPr/>
        <w:t xml:space="preserve">(4) This section does not apply to liquor given for medicinal purposes to a person under the age of twenty-one years by a parent, guardian, physician, or dentist.</w:t>
      </w:r>
    </w:p>
    <w:p>
      <w:pPr>
        <w:spacing w:before="0" w:after="0" w:line="408" w:lineRule="exact"/>
        <w:ind w:left="0" w:right="0" w:firstLine="576"/>
        <w:jc w:val="left"/>
      </w:pPr>
      <w:r>
        <w:rPr/>
        <w:t xml:space="preserve">(5) This section does not apply to liquor given to a person under the age of twenty-one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rPr/>
        <w:t xml:space="preserve">(6) </w:t>
      </w:r>
      <w:r>
        <w:rPr>
          <w:u w:val="single"/>
        </w:rPr>
        <w:t xml:space="preserve">This section does not apply to liquor provided to students under twenty-one years of age in accordance with a special permit issued under RCW 66.20.010(12).</w:t>
      </w:r>
    </w:p>
    <w:p>
      <w:pPr>
        <w:spacing w:before="0" w:after="0" w:line="408" w:lineRule="exact"/>
        <w:ind w:left="0" w:right="0" w:firstLine="576"/>
        <w:jc w:val="left"/>
      </w:pPr>
      <w:r>
        <w:rPr>
          <w:u w:val="single"/>
        </w:rPr>
        <w:t xml:space="preserve">(7)</w:t>
      </w:r>
      <w:r>
        <w:rPr/>
        <w:t xml:space="preserve">(a) A person under the age of twenty</w:t>
      </w:r>
      <w:r>
        <w:rPr/>
        <w:noBreakHyphen/>
      </w:r>
      <w:r>
        <w:rPr/>
        <w:t xml:space="preserve">one years acting in good faith who seeks medical assistance for someone experiencing alcohol poisoning shall not be charged or prosecuted under subsection (2)(a)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twenty</w:t>
      </w:r>
      <w:r>
        <w:rPr/>
        <w:noBreakHyphen/>
      </w:r>
      <w:r>
        <w:rPr/>
        <w:t xml:space="preserve">one years who experiences alcohol poisoning and is in need of medical assistance shall not be charged or prosecuted under subsection (2)(a)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(7)</w:t>
      </w:r>
      <w:r>
        <w:t>))</w:t>
      </w:r>
      <w:r>
        <w:rPr>
          <w:u w:val="single"/>
        </w:rPr>
        <w:t xml:space="preserve">(8)</w:t>
      </w:r>
      <w:r>
        <w:rPr/>
        <w:t xml:space="preserve"> Conviction or forfeiture of bail for a violation of this section by a person under the age of twenty-one years at the time of such conviction or forfeiture shall not be a disqualification of that person to acquire a license to sell or dispense any liquor after that person has attained the age of twenty-one years.</w:t>
      </w:r>
    </w:p>
    <w:p/>
    <w:p>
      <w:pPr>
        <w:jc w:val="center"/>
      </w:pPr>
      <w:r>
        <w:rPr>
          <w:b/>
        </w:rPr>
        <w:t>--- END ---</w:t>
      </w:r>
    </w:p>
    <w:sectPr>
      <w:pgNumType w:start="1"/>
      <w:footerReference xmlns:r="http://schemas.openxmlformats.org/officeDocument/2006/relationships" r:id="R5a1c479c277d46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b5545eda794890" /><Relationship Type="http://schemas.openxmlformats.org/officeDocument/2006/relationships/footer" Target="/word/footer.xml" Id="R5a1c479c277d46bf" /></Relationships>
</file>