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968f263e8849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87</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Fagan, Goodman, Hayes, Moscoso, Takko, Tarleton, Orwall, Nealey, Klippert, Pettigrew, Gregerson, Haler, Fitzgibbon, Stanford, and Farrell; by request of Attorney General</w:t>
      </w:r>
    </w:p>
    <w:p/>
    <w:p>
      <w:r>
        <w:rPr>
          <w:t xml:space="preserve">Prefiled 12/30/14.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sexually violent predators; amending RCW 71.09.070, 71.09.020, and 71.09.096;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2011 2nd sp.s. c 7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w:t>
      </w:r>
      <w:r>
        <w:rPr>
          <w:strike/>
        </w:rPr>
        <w:t xml:space="preserve">of social and health services</w:t>
      </w:r>
      <w:r>
        <w:rPr/>
        <w:t xml:space="preserve">)) at least once every year. ((</w:t>
      </w:r>
      <w:r>
        <w:rPr>
          <w:strike/>
        </w:rPr>
        <w:t xml:space="preserve">The annual report shall include</w:t>
      </w:r>
      <w:r>
        <w:rPr/>
        <w:t xml:space="preserve">))</w:t>
      </w:r>
    </w:p>
    <w:p>
      <w:pPr>
        <w:spacing w:before="0" w:after="0" w:line="408" w:lineRule="exact"/>
        <w:ind w:left="0" w:right="0" w:firstLine="576"/>
        <w:jc w:val="left"/>
      </w:pPr>
      <w:r>
        <w:rPr>
          <w:u w:val="single"/>
        </w:rPr>
        <w:t xml:space="preserve">(2) The evaluator must prepare a report that includes</w:t>
      </w:r>
      <w:r>
        <w:rPr/>
        <w:t xml:space="preserve"> consideration of whether</w:t>
      </w:r>
      <w:r>
        <w:rPr>
          <w:u w:val="single"/>
        </w:rPr>
        <w:t xml:space="preserve">:</w:t>
      </w:r>
    </w:p>
    <w:p>
      <w:pPr>
        <w:spacing w:before="0" w:after="0" w:line="408" w:lineRule="exact"/>
        <w:ind w:left="0" w:right="0" w:firstLine="576"/>
        <w:jc w:val="left"/>
      </w:pPr>
      <w:r>
        <w:rPr>
          <w:u w:val="single"/>
        </w:rPr>
        <w:t xml:space="preserve">(a) T</w:t>
      </w:r>
      <w:r>
        <w:rPr/>
        <w:t xml:space="preserve">he committed person currently meets the definition of a sexually violent predator ((</w:t>
      </w:r>
      <w:r>
        <w:rPr>
          <w:strike/>
        </w:rPr>
        <w:t xml:space="preserve">and whether</w:t>
      </w:r>
      <w:r>
        <w:rPr/>
        <w:t xml:space="preserve">))</w:t>
      </w:r>
      <w:r>
        <w:rPr>
          <w:u w:val="single"/>
        </w:rPr>
        <w:t xml:space="preserve">;</w:t>
      </w:r>
    </w:p>
    <w:p>
      <w:pPr>
        <w:spacing w:before="0" w:after="0" w:line="408" w:lineRule="exact"/>
        <w:ind w:left="0" w:right="0" w:firstLine="576"/>
        <w:jc w:val="left"/>
      </w:pPr>
      <w:r>
        <w:rPr>
          <w:u w:val="single"/>
        </w:rPr>
        <w:t xml:space="preserve">(b) C</w:t>
      </w:r>
      <w:r>
        <w:rPr/>
        <w:t xml:space="preserve">onditional release to a less restrictive alternative is in the best interest of the person</w:t>
      </w:r>
      <w:r>
        <w:rPr>
          <w:u w:val="single"/>
        </w:rPr>
        <w:t xml:space="preserve">;</w:t>
      </w:r>
      <w:r>
        <w:rPr/>
        <w:t xml:space="preserve"> and </w:t>
      </w:r>
    </w:p>
    <w:p>
      <w:pPr>
        <w:spacing w:before="0" w:after="0" w:line="408" w:lineRule="exact"/>
        <w:ind w:left="0" w:right="0" w:firstLine="576"/>
        <w:jc w:val="left"/>
      </w:pPr>
      <w:r>
        <w:rPr>
          <w:u w:val="single"/>
        </w:rPr>
        <w:t xml:space="preserve">(c) C</w:t>
      </w:r>
      <w:r>
        <w:rPr/>
        <w:t xml:space="preserve">onditions can be imposed that would adequately protect the community.</w:t>
      </w:r>
    </w:p>
    <w:p>
      <w:pPr>
        <w:spacing w:before="0" w:after="0" w:line="408" w:lineRule="exact"/>
        <w:ind w:left="0" w:right="0" w:firstLine="576"/>
        <w:jc w:val="left"/>
      </w:pPr>
      <w:r>
        <w:rPr>
          <w:u w:val="single"/>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u w:val="single"/>
        </w:rPr>
        <w:t xml:space="preserve">(4) The evaluator must indicate in the report whether the committed person participated in the interview and examination.</w:t>
      </w:r>
    </w:p>
    <w:p>
      <w:pPr>
        <w:spacing w:before="0" w:after="0" w:line="408" w:lineRule="exact"/>
        <w:ind w:left="0" w:right="0" w:firstLine="576"/>
        <w:jc w:val="left"/>
      </w:pPr>
      <w:r>
        <w:rPr>
          <w:u w:val="single"/>
        </w:rPr>
        <w:t xml:space="preserve">(5)</w:t>
      </w:r>
      <w:r>
        <w:rPr/>
        <w:t xml:space="preserve"> The department ((</w:t>
      </w:r>
      <w:r>
        <w:rPr>
          <w:strike/>
        </w:rPr>
        <w:t xml:space="preserve">of social and health services</w:t>
      </w:r>
      <w:r>
        <w:rPr/>
        <w:t xml:space="preserve">)) shall file ((</w:t>
      </w:r>
      <w:r>
        <w:rPr>
          <w:strike/>
        </w:rPr>
        <w:t xml:space="preserve">this periodic</w:t>
      </w:r>
      <w:r>
        <w:rPr/>
        <w:t xml:space="preserve">)) </w:t>
      </w:r>
      <w:r>
        <w:rPr>
          <w:u w:val="single"/>
        </w:rPr>
        <w:t xml:space="preserve">the</w:t>
      </w:r>
      <w:r>
        <w:rPr/>
        <w:t xml:space="preserve"> report with the court that committed the person under this chapter. The report shall be in the form of a declaration or certification in compliance with the requirements of RCW 9A.72.085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u w:val="single"/>
        </w:rPr>
        <w:t xml:space="preserve">(6)(a)</w:t>
      </w:r>
      <w:r>
        <w:rPr/>
        <w:t xml:space="preserve">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u w:val="single"/>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u w:val="single"/>
        </w:rPr>
        <w:t xml:space="preserve">(8)</w:t>
      </w:r>
      <w:r>
        <w:rPr/>
        <w:t xml:space="preserve">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2009 c 409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(3) "Health care practitioner" means an individual or firm licensed or certified to engage actively in a regulated health profession.</w:t>
      </w:r>
    </w:p>
    <w:p>
      <w:pPr>
        <w:spacing w:before="0" w:after="0" w:line="408" w:lineRule="exact"/>
        <w:ind w:left="0" w:right="0" w:firstLine="576"/>
        <w:jc w:val="left"/>
      </w:pPr>
      <w:r>
        <w:rPr/>
        <w:t xml:space="preserve">(4) "Health care services" means those services provided by health professionals licensed pursuant to RCW 18.120.020(4).</w:t>
      </w:r>
    </w:p>
    <w:p>
      <w:pPr>
        <w:spacing w:before="0" w:after="0" w:line="408" w:lineRule="exact"/>
        <w:ind w:left="0" w:right="0" w:firstLine="576"/>
        <w:jc w:val="left"/>
      </w:pPr>
      <w:r>
        <w:rPr/>
        <w:t xml:space="preserve">(5) "Health profession" means those licensed or regulated professions set forth in RCW 18.120.020(4).</w:t>
      </w:r>
    </w:p>
    <w:p>
      <w:pPr>
        <w:spacing w:before="0" w:after="0" w:line="408" w:lineRule="exact"/>
        <w:ind w:left="0" w:right="0" w:firstLine="576"/>
        <w:jc w:val="left"/>
      </w:pPr>
      <w:r>
        <w:rPr/>
        <w:t xml:space="preserve">(6)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(11)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(14) "Secretary" means the secretary of social and health services or the secretary's designee.</w:t>
      </w:r>
    </w:p>
    <w:p>
      <w:pPr>
        <w:spacing w:before="0" w:after="0" w:line="408" w:lineRule="exact"/>
        <w:ind w:left="0" w:right="0" w:firstLine="576"/>
        <w:jc w:val="left"/>
      </w:pPr>
      <w:r>
        <w:rPr/>
        <w:t xml:space="preserve">(15)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rPr/>
        <w:t xml:space="preserve">(16)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u w:val="single"/>
        </w:rPr>
        <w:t xml:space="preserve">(20)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2009 c 409 s 10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w:t>
      </w:r>
      <w:r>
        <w:rPr>
          <w:u w:val="single"/>
        </w:rPr>
        <w:t xml:space="preserve">(a)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commitment,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u w:val="single"/>
        </w:rPr>
        <w:t xml:space="preserve">(b)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u w:val="single"/>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u w:val="single"/>
        </w:rPr>
        <w:t xml:space="preserve">(d) This subsection (5) does not apply to releases to a secure community transition facility under RCW 71.09.250.</w:t>
      </w:r>
    </w:p>
    <w:p>
      <w:pPr>
        <w:spacing w:before="0" w:after="0" w:line="408" w:lineRule="exact"/>
        <w:ind w:left="0" w:right="0" w:firstLine="576"/>
        <w:jc w:val="left"/>
      </w:pPr>
      <w:r>
        <w:rPr>
          <w:u w:val="single"/>
        </w:rPr>
        <w:t xml:space="preserve">(6)</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(5)</w:t>
      </w:r>
      <w:r>
        <w:t>))</w:t>
      </w:r>
      <w:r>
        <w:rPr/>
        <w:t xml:space="preserve"> </w:t>
      </w:r>
      <w:r>
        <w:rPr>
          <w:u w:val="single"/>
        </w:rPr>
        <w:t xml:space="preserve">(6)</w:t>
      </w:r>
      <w:r>
        <w:rPr/>
        <w:t xml:space="preserve"> of this section and the opinions of the secretary and other experts or professional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8cb6cbfb116241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c5199e642405d" /><Relationship Type="http://schemas.openxmlformats.org/officeDocument/2006/relationships/footer" Target="/word/footer.xml" Id="R8cb6cbfb11624195" /></Relationships>
</file>