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956af0d164d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MacEwen, Manweller, and Condotta)</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contractor registration requirements for owners of property; and amending RCW 18.27.010.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2007 c 436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w:t>
      </w:r>
      <w:r>
        <w:rPr>
          <w:u w:val="single"/>
        </w:rPr>
        <w:t xml:space="preserve">(a)</w:t>
      </w:r>
      <w:r>
        <w:rPr/>
        <w:t xml:space="preserve">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ind w:left="0" w:right="0" w:firstLine="360"/>
        <w:jc w:val="both"/>
      </w:pPr>
      <w:r>
        <w:rPr>
          <w:u w:val="single"/>
        </w:rPr>
        <w:t xml:space="preserve">(b)</w:t>
      </w:r>
      <w:r>
        <w:rPr/>
        <w:t xml:space="preserve"> "Contractor" also includes a consultant acting as a general contractor.</w:t>
      </w:r>
    </w:p>
    <w:p>
      <w:pPr>
        <w:ind w:left="0" w:right="0" w:firstLine="360"/>
        <w:jc w:val="both"/>
      </w:pPr>
      <w:r>
        <w:rPr>
          <w:u w:val="single"/>
        </w:rPr>
        <w:t xml:space="preserve">(c)</w:t>
      </w:r>
      <w:r>
        <w:rPr/>
        <w:t xml:space="preserve"> "Contractor" also includes any person, firm, corporation, or other entity covered by this subsection </w:t>
      </w:r>
      <w:r>
        <w:rPr>
          <w:u w:val="single"/>
        </w:rPr>
        <w:t xml:space="preserve">(1)</w:t>
      </w:r>
      <w:r>
        <w:rPr/>
        <w:t xml:space="preserve">,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w:t>
      </w:r>
      <w:r>
        <w:rPr>
          <w:u w:val="single"/>
        </w:rPr>
        <w:t xml:space="preserve">A person, firm, corporation, or other entity is not a contractor under this subsection (1)(c) if the person, firm, corporation, or other entity contracts with a registered general contractor and does not superintend the work.</w:t>
      </w:r>
    </w:p>
    <w:p>
      <w:pPr>
        <w:ind w:left="0" w:right="0" w:firstLine="360"/>
        <w:jc w:val="both"/>
      </w:pPr>
      <w:r>
        <w:rPr/>
        <w:t xml:space="preserve">(2) "Department" means the department of labor and industries.</w:t>
      </w:r>
    </w:p>
    <w:p>
      <w:pPr>
        <w:ind w:left="0" w:right="0" w:firstLine="360"/>
        <w:jc w:val="both"/>
      </w:pPr>
      <w:r>
        <w:rPr/>
        <w:t xml:space="preserve">(3) "Director" means the director of the department of labor and industries or designated representative employed by the department.</w:t>
      </w:r>
    </w:p>
    <w:p>
      <w:pPr>
        <w:ind w:left="0" w:right="0" w:firstLine="360"/>
        <w:jc w:val="both"/>
      </w:pPr>
      <w:r>
        <w:rPr/>
        <w:t xml:space="preserve">(4) "Filing" means delivery of a document that is required to be filed with an agency to a place designated by the agency.</w:t>
      </w:r>
    </w:p>
    <w:p>
      <w:pPr>
        <w:ind w:left="0" w:right="0" w:firstLine="360"/>
        <w:jc w:val="both"/>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ind w:left="0" w:right="0" w:firstLine="360"/>
        <w:jc w:val="both"/>
      </w:pPr>
      <w:r>
        <w:rPr/>
        <w:t xml:space="preserve">(6) "Notice of infraction" means a form used by the department to notify contractors that an infraction under this chapter has been filed against them.</w:t>
      </w:r>
    </w:p>
    <w:p>
      <w:pPr>
        <w:ind w:left="0" w:right="0" w:firstLine="360"/>
        <w:jc w:val="both"/>
      </w:pPr>
      <w:r>
        <w:rPr/>
        <w:t xml:space="preserve">(7) "Partnership" means a business formed under Title 25 RCW.</w:t>
      </w:r>
    </w:p>
    <w:p>
      <w:pPr>
        <w:ind w:left="0" w:right="0" w:firstLine="360"/>
        <w:jc w:val="both"/>
      </w:pPr>
      <w:r>
        <w:rPr/>
        <w:t xml:space="preserve">(8) "Registration cancellation" means a written notice from the department that a contractor's action is in violation of this chapter and that the contractor's registration has been revoked.</w:t>
      </w:r>
    </w:p>
    <w:p>
      <w:pPr>
        <w:ind w:left="0" w:right="0" w:firstLine="360"/>
        <w:jc w:val="both"/>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ind w:left="0" w:right="0" w:firstLine="360"/>
        <w:jc w:val="both"/>
      </w:pPr>
      <w:r>
        <w:rPr/>
        <w:t xml:space="preserve">(10) "Residential homeowner" means an individual person or persons owning or leasing real property:</w:t>
      </w:r>
    </w:p>
    <w:p>
      <w:pPr>
        <w:ind w:left="0" w:right="0" w:firstLine="360"/>
        <w:jc w:val="both"/>
      </w:pPr>
      <w:r>
        <w:rPr/>
        <w:t xml:space="preserve">(a) Upon which one single-family residence is to be built and in which the owner or lessee intends to reside upon completion of any construction; or</w:t>
      </w:r>
    </w:p>
    <w:p>
      <w:pPr>
        <w:ind w:left="0" w:right="0" w:firstLine="360"/>
        <w:jc w:val="both"/>
      </w:pPr>
      <w:r>
        <w:rPr/>
        <w:t xml:space="preserve">(b) Upon which there is a single-family residence to which improvements are to be made and in which the owner or lessee intends to reside upon completion of any construction.</w:t>
      </w:r>
    </w:p>
    <w:p>
      <w:pPr>
        <w:ind w:left="0" w:right="0" w:firstLine="360"/>
        <w:jc w:val="both"/>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ind w:left="0" w:right="0" w:firstLine="360"/>
        <w:jc w:val="both"/>
      </w:pPr>
      <w:r>
        <w:rPr/>
        <w:t xml:space="preserve">(12) "Specialty contractor" means a contractor whose operations do not fall within the definition of "general contractor".  A specialty contractor may only subcontract work that is incidental to the specialty contractor's work.</w:t>
      </w:r>
    </w:p>
    <w:p>
      <w:pPr>
        <w:ind w:left="0" w:right="0" w:firstLine="360"/>
        <w:jc w:val="both"/>
      </w:pPr>
      <w:r>
        <w:rPr/>
        <w:t xml:space="preserve">(13) "Substantial completion" means the same as "substantial completion of construction" in RCW 4.16.310.</w:t>
      </w:r>
    </w:p>
    <w:p>
      <w:pPr>
        <w:ind w:left="0" w:right="0" w:firstLine="360"/>
        <w:jc w:val="both"/>
      </w:pPr>
      <w:r>
        <w:rPr/>
        <w:t xml:space="preserve">(14)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thirty or fewer days.</w:t>
      </w:r>
    </w:p>
    <w:p>
      <w:pPr>
        <w:ind w:left="0" w:right="0" w:firstLine="360"/>
        <w:jc w:val="both"/>
      </w:pPr>
      <w:r>
        <w:rPr/>
        <w:t xml:space="preserve">(15) "Unsatisfied final judgment" means a judgment or final tax warrant that has not been satisfied either through payment, court approved settlement, discharge in bankruptcy, or assignment under RCW 19.72.070.</w:t>
      </w:r>
    </w:p>
    <w:p>
      <w:pPr>
        <w:ind w:left="0" w:right="0" w:firstLine="360"/>
        <w:jc w:val="both"/>
      </w:pPr>
      <w:r>
        <w:rPr/>
        <w:t xml:space="preserve">(16) "Verification" means the receipt and duplication by the city, town, or county of a contractor registration card that is current on its face, checking the department's contractor registration database, or calling the department to confirm that the contractor is registered.</w:t>
      </w:r>
    </w:p>
    <w:p/>
    <w:p>
      <w:pPr>
        <w:jc w:val="center"/>
      </w:pPr>
      <w:r>
        <w:rPr>
          <w:b/>
        </w:rPr>
        <w:t>--- END ---</w:t>
      </w:r>
    </w:p>
    <w:sectPr>
      <w:pgNumType w:start="1"/>
      <w:footerReference xmlns:r="http://schemas.openxmlformats.org/officeDocument/2006/relationships" r:id="R71145c64233f46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6880d92594939" /><Relationship Type="http://schemas.openxmlformats.org/officeDocument/2006/relationships/footer" Target="/word/footer.xml" Id="R71145c64233f4619" /></Relationships>
</file>