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0d746a713644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1853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1853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Magendanz, Bergquist, Morris, Muri, Tarleton, Fitzgibbon, and Tharinger)</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leadership in electric vehicle charging infrastructure build-out;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transportation sector is Washington's largest contributor to greenhouse emissions and hazardous air pollutants as defined by federal national ambient air quality standards and mobile source air toxics rules. The sector's portion is considerably higher than the national average because our state relies heavily on hydropower for electricity generation, unlike other states that rely on fossil fuels such as coal, petroleum, and natural gas to generate electricity.</w:t>
      </w:r>
    </w:p>
    <w:p>
      <w:pPr>
        <w:spacing w:before="0" w:after="0" w:line="408" w:lineRule="exact"/>
        <w:ind w:left="0" w:right="0" w:firstLine="576"/>
        <w:jc w:val="left"/>
      </w:pPr>
      <w:r>
        <w:rPr/>
        <w:t xml:space="preserve">(2) The legislature also finds that federal clean air act regulations and complementary Washington policies supporting renewable energy generation, energy efficiency, and energy conservation are likely to result in further reduction of emissions in the electricity and in the combined residential, commercial, and industrial sectors. The legislature finds that state policy can achieve the greatest return on investment in reducing greenhouse gas emissions and improving air quality by expediting the transition to alternative fuel vehicles, including electric vehicles.</w:t>
      </w:r>
    </w:p>
    <w:p>
      <w:pPr>
        <w:spacing w:before="0" w:after="0" w:line="408" w:lineRule="exact"/>
        <w:ind w:left="0" w:right="0" w:firstLine="576"/>
        <w:jc w:val="left"/>
      </w:pPr>
      <w:r>
        <w:rPr/>
        <w:t xml:space="preserve">(3) The legislature finds that utilities, who are traditionally responsible for understanding and engineering the electrical grid for safety and reliability, must be fully empowered and incentivized to be engaged in electrification of our transportation system. The legislature further finds that it has given utilities other policy directives to promote energy conservation which do not make the benefits of building out electric vehicle infrastructure, as well as any subsequent increase in energy consumption, readily apparent. Therefore the legislature intends to provide a clear policy directive and financial incentive to utilities for electric vehicle infrastructure build-out.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 and which are reasonably expected, at the time they are placed in the rate base, to result in real and tangible benefits for rate payers by being installed and located where electric vehicles are most likely to be parked for intervals longer than two hours.</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
      <w:pPr>
        <w:jc w:val="center"/>
      </w:pPr>
      <w:r>
        <w:rPr>
          <w:b/>
        </w:rPr>
        <w:t>--- END ---</w:t>
      </w:r>
    </w:p>
    <w:sectPr>
      <w:pgNumType w:start="1"/>
      <w:footerReference xmlns:r="http://schemas.openxmlformats.org/officeDocument/2006/relationships" r:id="Rb2c5476d820747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595a344be3468e" /><Relationship Type="http://schemas.openxmlformats.org/officeDocument/2006/relationships/footer" Target="/word/footer.xml" Id="Rb2c5476d82074767" /></Relationships>
</file>