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92aa5ad794a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Robinson, Harris, and Stanford)</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adding a new section to chapter 18.06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limited to saline, sterile water, herbs, minerals, vitamins in liquid form, and homeopathic and nutritional substances,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Prior to providing point injection therapy services, an East Asian medicine practitioner must obtain the education and training necessary to provide the service. The department shall adopt rules by July 1, 2017, to specify the education and training necessary to provide point injection therapy.</w:t>
      </w:r>
    </w:p>
    <w:p>
      <w:pPr>
        <w:spacing w:before="0" w:after="0" w:line="408" w:lineRule="exact"/>
        <w:ind w:left="0" w:right="0" w:firstLine="576"/>
        <w:jc w:val="left"/>
      </w:pPr>
      <w:r>
        <w:rPr/>
        <w:t xml:space="preserve">(2) Any East Asian medicine practitioner performing point injection therapy prior to the effective date of this section must be able to demonstrate, upon request of the department of health, successful completion of education and training in point injection therapy.</w:t>
      </w:r>
    </w:p>
    <w:p/>
    <w:p>
      <w:pPr>
        <w:jc w:val="center"/>
      </w:pPr>
      <w:r>
        <w:rPr>
          <w:b/>
        </w:rPr>
        <w:t>--- END ---</w:t>
      </w:r>
    </w:p>
    <w:sectPr>
      <w:pgNumType w:start="1"/>
      <w:footerReference xmlns:r="http://schemas.openxmlformats.org/officeDocument/2006/relationships" r:id="R3db369c598ed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84a71960f4ccc" /><Relationship Type="http://schemas.openxmlformats.org/officeDocument/2006/relationships/footer" Target="/word/footer.xml" Id="R3db369c598ed4775" /></Relationships>
</file>