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a7747ac23844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2781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2781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Harris, Cody, Senn, and Moeller</w:t>
      </w:r>
    </w:p>
    <w:p/>
    <w:p>
      <w:r>
        <w:rPr>
          <w:t xml:space="preserve">Read first time 01/20/16.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board of massage; amending RCW 18.108.025, 18.108.070, and 18.108.073; and adding a new section to chapter 18.108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108</w:t>
      </w:r>
      <w:r>
        <w:rPr/>
        <w:t xml:space="preserve"> RCW</w:t>
      </w:r>
      <w:r>
        <w:rPr/>
        <w:t xml:space="preserve"> to read as follows:</w:t>
      </w:r>
    </w:p>
    <w:p>
      <w:pPr>
        <w:spacing w:before="0" w:after="0" w:line="408" w:lineRule="exact"/>
        <w:ind w:left="0" w:right="0" w:firstLine="576"/>
        <w:jc w:val="left"/>
      </w:pPr>
      <w:r>
        <w:rPr/>
        <w:t xml:space="preserve">In order to recognize prior education that is applicable to licensure as a massage therapist or massage practitioner while protecting the public, the board shall adopt rules to allow massage programs that are approved by the board to establish transfer programs that accept an individual's credits or clock hours from schools that have not been approved by the board. "Prior education" must be defined to include but not be limited to, credits or clock hours from schools, colleges, and universities that are:</w:t>
      </w:r>
    </w:p>
    <w:p>
      <w:pPr>
        <w:spacing w:before="0" w:after="0" w:line="408" w:lineRule="exact"/>
        <w:ind w:left="0" w:right="0" w:firstLine="576"/>
        <w:jc w:val="left"/>
      </w:pPr>
      <w:r>
        <w:rPr/>
        <w:t xml:space="preserve">(1) Accredited by a national or regional accreditation organization;</w:t>
      </w:r>
    </w:p>
    <w:p>
      <w:pPr>
        <w:spacing w:before="0" w:after="0" w:line="408" w:lineRule="exact"/>
        <w:ind w:left="0" w:right="0" w:firstLine="576"/>
        <w:jc w:val="left"/>
      </w:pPr>
      <w:r>
        <w:rPr/>
        <w:t xml:space="preserve">(2) Approved by a state authority with responsibility for oversight of vocational programs; or</w:t>
      </w:r>
    </w:p>
    <w:p>
      <w:pPr>
        <w:spacing w:before="0" w:after="0" w:line="408" w:lineRule="exact"/>
        <w:ind w:left="0" w:right="0" w:firstLine="576"/>
        <w:jc w:val="left"/>
      </w:pPr>
      <w:r>
        <w:rPr/>
        <w:t xml:space="preserve">(3) Approved by a state agency that regulates massage programs and is a member of the federation of state massage therapy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practitioner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w:t>
      </w:r>
      <w:r>
        <w:rPr>
          <w:u w:val="single"/>
        </w:rPr>
        <w:t xml:space="preserve">transfer programs,</w:t>
      </w:r>
      <w:r>
        <w:rPr/>
        <w:t xml:space="preserve">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practitioner license under this chapter; and</w:t>
      </w:r>
    </w:p>
    <w:p>
      <w:pPr>
        <w:spacing w:before="0" w:after="0" w:line="408" w:lineRule="exact"/>
        <w:ind w:left="0" w:right="0" w:firstLine="576"/>
        <w:jc w:val="left"/>
      </w:pPr>
      <w:r>
        <w:rPr/>
        <w:t xml:space="preserve">(f) Determine which states have educational and licensing requirements for massage practitioners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practitioner's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w:t>
      </w:r>
      <w:r>
        <w:rPr>
          <w:u w:val="single"/>
        </w:rPr>
        <w:t xml:space="preserve">, transfer program,</w:t>
      </w:r>
      <w:r>
        <w:rPr/>
        <w:t xml:space="preserve">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practitioner's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practitioner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practitioner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w:t>
      </w:r>
      <w:r>
        <w:rPr>
          <w:u w:val="single"/>
        </w:rPr>
        <w:t xml:space="preserve">or transfer program</w:t>
      </w:r>
      <w:r>
        <w:rPr/>
        <w:t xml:space="preserve">;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practitioner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practitioner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practitioner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practitioner applicant in meeting the licensing requirement.</w:t>
      </w:r>
    </w:p>
    <w:p/>
    <w:p>
      <w:pPr>
        <w:jc w:val="center"/>
      </w:pPr>
      <w:r>
        <w:rPr>
          <w:b/>
        </w:rPr>
        <w:t>--- END ---</w:t>
      </w:r>
    </w:p>
    <w:sectPr>
      <w:pgNumType w:start="1"/>
      <w:footerReference xmlns:r="http://schemas.openxmlformats.org/officeDocument/2006/relationships" r:id="R92c167ce58ef40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806bd2736648e2" /><Relationship Type="http://schemas.openxmlformats.org/officeDocument/2006/relationships/footer" Target="/word/footer.xml" Id="R92c167ce58ef40a6" /></Relationships>
</file>