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9a36d767e4a82" /></Relationships>
</file>

<file path=word/document.xml><?xml version="1.0" encoding="utf-8"?>
<w:document xmlns:w="http://schemas.openxmlformats.org/wordprocessingml/2006/main">
  <w:body>
    <w:p>
      <w:r>
        <w:t>S-1109.1</w:t>
      </w:r>
    </w:p>
    <w:p>
      <w:pPr>
        <w:jc w:val="center"/>
      </w:pPr>
      <w:r>
        <w:t>_______________________________________________</w:t>
      </w:r>
    </w:p>
    <w:p/>
    <w:p>
      <w:pPr>
        <w:jc w:val="center"/>
      </w:pPr>
      <w:r>
        <w:rPr>
          <w:b/>
        </w:rPr>
        <w:t>SUBSTITUTE SENATE BILL 5041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O'Ban, Fain, and Dammeier)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amending RCW 9A.88.150, 9A.88.110, 9A.88.130, 9A.88.140, 43.43.754;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human trafficking is modern day slavery, which often takes the form of forced sexual exploitation. The potential to make significant financial gains is what motivates sex traffickers to use force, coercion, and physical violence to require victims to engage in sex acts for profit. The legislature finds that both children and adults are forced daily to sell themselves for the profit of others. It is the intent of the legislature that the buyers of sex are held responsible for their participation in this form of modern day slavery. Local governments and law enforcement agencies must have the effective tools necessary to focus on the buyers of sex in order to deter the demand for sexual exploitation. Providing law enforcement with the ability to seize and forfeit the property of buyers who use that property to commit the crime of sexual exploitation will hold these individuals responsible for actions that perpetuate human sex trafficking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w:t>
      </w:r>
      <w:r>
        <w:t>((</w:t>
      </w:r>
      <w:r>
        <w:rPr>
          <w:strike/>
        </w:rPr>
        <w:t xml:space="preserve">or</w:t>
      </w:r>
      <w:r>
        <w:t>))</w:t>
      </w:r>
      <w:r>
        <w:rPr/>
        <w:t xml:space="preserve"> 9A.88.070, </w:t>
      </w:r>
      <w:r>
        <w:rPr>
          <w:u w:val="single"/>
        </w:rPr>
        <w:t xml:space="preserve">or 9A.88.110,</w:t>
      </w:r>
      <w:r>
        <w:rPr/>
        <w:t xml:space="preserve">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w:t>
      </w:r>
      <w:r>
        <w:t>((</w:t>
      </w:r>
      <w:r>
        <w:rPr>
          <w:strike/>
        </w:rPr>
        <w:t xml:space="preserve">or</w:t>
      </w:r>
      <w:r>
        <w:t>))</w:t>
      </w:r>
      <w:r>
        <w:rPr/>
        <w:t xml:space="preserve"> 9A.88.070, </w:t>
      </w:r>
      <w:r>
        <w:rPr>
          <w:u w:val="single"/>
        </w:rPr>
        <w:t xml:space="preserve">or 9A.88.110,</w:t>
      </w:r>
      <w:r>
        <w:rPr/>
        <w:t xml:space="preserve">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w:t>
      </w:r>
      <w:r>
        <w:t>((</w:t>
      </w:r>
      <w:r>
        <w:rPr>
          <w:strike/>
        </w:rPr>
        <w:t xml:space="preserve">or</w:t>
      </w:r>
      <w:r>
        <w:t>))</w:t>
      </w:r>
      <w:r>
        <w:rPr/>
        <w:t xml:space="preserve"> 9A.88.070, </w:t>
      </w:r>
      <w:r>
        <w:rPr>
          <w:u w:val="single"/>
        </w:rPr>
        <w:t xml:space="preserve">or 9A.88.110,</w:t>
      </w:r>
      <w:r>
        <w:rPr/>
        <w:t xml:space="preserve">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w:t>
      </w:r>
      <w:r>
        <w:t>((</w:t>
      </w:r>
      <w:r>
        <w:rPr>
          <w:strike/>
        </w:rPr>
        <w:t xml:space="preserve">or</w:t>
      </w:r>
      <w:r>
        <w:t>))</w:t>
      </w:r>
      <w:r>
        <w:rPr/>
        <w:t xml:space="preserve"> 9A.88.070</w:t>
      </w:r>
      <w:r>
        <w:rPr>
          <w:u w:val="single"/>
        </w:rPr>
        <w:t xml:space="preserve">, or 9A.88.110</w:t>
      </w:r>
      <w:r>
        <w:rPr/>
        <w:t xml:space="preserv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w:t>
      </w:r>
      <w:r>
        <w:t>((</w:t>
      </w:r>
      <w:r>
        <w:rPr>
          <w:strike/>
        </w:rPr>
        <w:t xml:space="preserve">patronizing a prostitute</w:t>
      </w:r>
      <w:r>
        <w:t>))</w:t>
      </w:r>
      <w:r>
        <w:rPr/>
        <w:t xml:space="preserve"> </w:t>
      </w:r>
      <w:r>
        <w:rPr>
          <w:u w:val="single"/>
        </w:rPr>
        <w:t xml:space="preserve">sexual exploitation</w:t>
      </w:r>
      <w:r>
        <w:rPr/>
        <w:t xml:space="preserv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For purposes of this section, "sexual conduct" has the meaning given in RCW 9A.88.030.</w:t>
      </w:r>
    </w:p>
    <w:p>
      <w:pPr>
        <w:spacing w:before="0" w:after="0" w:line="408" w:lineRule="exact"/>
        <w:ind w:left="0" w:right="0" w:firstLine="576"/>
        <w:jc w:val="left"/>
      </w:pPr>
      <w:r>
        <w:rPr/>
        <w:t xml:space="preserve">(3) </w:t>
      </w:r>
      <w:r>
        <w:t>((</w:t>
      </w:r>
      <w:r>
        <w:rPr>
          <w:strike/>
        </w:rPr>
        <w:t xml:space="preserve">Patronizing a prostitute</w:t>
      </w:r>
      <w:r>
        <w:t>))</w:t>
      </w:r>
      <w:r>
        <w:rPr/>
        <w:t xml:space="preserve"> </w:t>
      </w:r>
      <w:r>
        <w:rPr>
          <w:u w:val="single"/>
        </w:rPr>
        <w:t xml:space="preserve">Sexual exploitation</w:t>
      </w:r>
      <w:r>
        <w:rPr/>
        <w:t xml:space="preserve">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130</w:t>
      </w:r>
      <w:r>
        <w:rPr/>
        <w:t xml:space="preserve"> and 2012 c 136 s 2 are each amended to read as follows:</w:t>
      </w:r>
    </w:p>
    <w:p>
      <w:pPr>
        <w:spacing w:before="0" w:after="0" w:line="408" w:lineRule="exact"/>
        <w:ind w:left="0" w:right="0" w:firstLine="576"/>
        <w:jc w:val="left"/>
      </w:pPr>
      <w:r>
        <w:rPr/>
        <w:t xml:space="preserve">(1) When sentencing or imposing conditions on a person convicted of, or receiving a deferred sentence or deferred prosecution for, violating RCW 9A.88.110 or 9.68A.100, the court must impose a requirement that the offender:</w:t>
      </w:r>
    </w:p>
    <w:p>
      <w:pPr>
        <w:spacing w:before="0" w:after="0" w:line="408" w:lineRule="exact"/>
        <w:ind w:left="0" w:right="0" w:firstLine="576"/>
        <w:jc w:val="left"/>
      </w:pPr>
      <w:r>
        <w:rPr/>
        <w:t xml:space="preserve">(a) Not be subsequently arrested for </w:t>
      </w:r>
      <w:r>
        <w:t>((</w:t>
      </w:r>
      <w:r>
        <w:rPr>
          <w:strike/>
        </w:rPr>
        <w:t xml:space="preserve">patronizing a prostitute</w:t>
      </w:r>
      <w:r>
        <w:t>))</w:t>
      </w:r>
      <w:r>
        <w:rPr/>
        <w:t xml:space="preserve"> </w:t>
      </w:r>
      <w:r>
        <w:rPr>
          <w:u w:val="single"/>
        </w:rPr>
        <w:t xml:space="preserve">sexual exploitation</w:t>
      </w:r>
      <w:r>
        <w:rPr/>
        <w:t xml:space="preserve"> or commercial sexual abuse of a minor;</w:t>
      </w:r>
    </w:p>
    <w:p>
      <w:pPr>
        <w:spacing w:before="0" w:after="0" w:line="408" w:lineRule="exact"/>
        <w:ind w:left="0" w:right="0" w:firstLine="576"/>
        <w:jc w:val="left"/>
      </w:pPr>
      <w:r>
        <w:rPr/>
        <w:t xml:space="preserve">(b) Remain outside the geographical area, prescribed by the court, in which the person was arrested for violating RCW 9A.88.110 or 9.68A.100, unless such a requirement would interfere with the person's legitimate employment or residence or otherwise be infeasible; and</w:t>
      </w:r>
    </w:p>
    <w:p>
      <w:pPr>
        <w:spacing w:before="0" w:after="0" w:line="408" w:lineRule="exact"/>
        <w:ind w:left="0" w:right="0" w:firstLine="576"/>
        <w:jc w:val="left"/>
      </w:pPr>
      <w:r>
        <w:rPr/>
        <w:t xml:space="preserve">(c) Fulfill the terms of a program, if a first-time offender, designated by the sentencing court, designed to educate offenders about the negative costs of </w:t>
      </w:r>
      <w:r>
        <w:t>((</w:t>
      </w:r>
      <w:r>
        <w:rPr>
          <w:strike/>
        </w:rPr>
        <w:t xml:space="preserve">prostitution</w:t>
      </w:r>
      <w:r>
        <w:t>))</w:t>
      </w:r>
      <w:r>
        <w:rPr/>
        <w:t xml:space="preserve"> </w:t>
      </w:r>
      <w:r>
        <w:rPr>
          <w:u w:val="single"/>
        </w:rPr>
        <w:t xml:space="preserve">sexual exploitation</w:t>
      </w:r>
      <w:r>
        <w:rPr/>
        <w:t xml:space="preserve">.</w:t>
      </w:r>
    </w:p>
    <w:p>
      <w:pPr>
        <w:spacing w:before="0" w:after="0" w:line="408" w:lineRule="exact"/>
        <w:ind w:left="0" w:right="0" w:firstLine="576"/>
        <w:jc w:val="left"/>
      </w:pPr>
      <w:r>
        <w:rPr/>
        <w:t xml:space="preserve">(2) This requirement is in addition to the penalties set forth in RCW 9A.88.110, 9A.88.120, and 9.68A.100.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w:t>
      </w:r>
      <w:r>
        <w:t>((</w:t>
      </w:r>
      <w:r>
        <w:rPr>
          <w:strike/>
        </w:rPr>
        <w:t xml:space="preserve">patronizing a prostitute</w:t>
      </w:r>
      <w:r>
        <w:t>))</w:t>
      </w:r>
      <w:r>
        <w:rPr/>
        <w:t xml:space="preserve"> </w:t>
      </w:r>
      <w:r>
        <w:rPr>
          <w:u w:val="single"/>
        </w:rPr>
        <w:t xml:space="preserve">sexual exploitation</w:t>
      </w:r>
      <w:r>
        <w:rPr/>
        <w:t xml:space="preserv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the owner of the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w:t>
      </w:r>
      <w:r>
        <w:t>((</w:t>
      </w:r>
      <w:r>
        <w:rPr>
          <w:strike/>
        </w:rPr>
        <w:t xml:space="preserve">9A.44.130</w:t>
      </w:r>
      <w:r>
        <w:t>))</w:t>
      </w:r>
      <w:r>
        <w:rPr/>
        <w:t xml:space="preserve"> </w:t>
      </w:r>
      <w:r>
        <w:rPr>
          <w:u w:val="single"/>
        </w:rPr>
        <w:t xml:space="preserve">9A.44.132</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t>((</w:t>
      </w:r>
      <w:r>
        <w:rPr>
          <w:strike/>
        </w:rPr>
        <w:t xml:space="preserve">Patronizing a prostitute</w:t>
      </w:r>
      <w:r>
        <w:t>))</w:t>
      </w:r>
      <w:r>
        <w:rPr/>
        <w:t xml:space="preserve"> </w:t>
      </w:r>
      <w:r>
        <w:rPr>
          <w:u w:val="single"/>
        </w:rPr>
        <w:t xml:space="preserve">Sexual exploitation</w:t>
      </w:r>
      <w:r>
        <w:rPr/>
        <w:t xml:space="preserv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t xml:space="preserve"> </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
      <w:pPr>
        <w:jc w:val="center"/>
      </w:pPr>
      <w:r>
        <w:rPr>
          <w:b/>
        </w:rPr>
        <w:t>--- END ---</w:t>
      </w:r>
    </w:p>
    <w:sectPr>
      <w:pgNumType w:start="1"/>
      <w:footerReference xmlns:r="http://schemas.openxmlformats.org/officeDocument/2006/relationships" r:id="R7732ed40885342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b63789e5f4849" /><Relationship Type="http://schemas.openxmlformats.org/officeDocument/2006/relationships/footer" Target="/word/footer.xml" Id="R7732ed40885342a4" /></Relationships>
</file>