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e6e9a276e94acf" /></Relationships>
</file>

<file path=word/document.xml><?xml version="1.0" encoding="utf-8"?>
<w:document xmlns:w="http://schemas.openxmlformats.org/wordprocessingml/2006/main">
  <w:body>
    <w:p>
      <w:r>
        <w:t>S-1190.1</w:t>
      </w:r>
    </w:p>
    <w:p>
      <w:pPr>
        <w:jc w:val="center"/>
      </w:pPr>
      <w:r>
        <w:t>_______________________________________________</w:t>
      </w:r>
    </w:p>
    <w:p/>
    <w:p>
      <w:pPr>
        <w:jc w:val="center"/>
      </w:pPr>
      <w:r>
        <w:rPr>
          <w:b/>
        </w:rPr>
        <w:t>SUBSTITUTE SENATE BILL 5051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Hatfield and Kohl-Welles)</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and delivery services for marijuana producers, marijuana processors, and marijuana retailers; amending RCW 69.50.4013 and 69.50.4014; and adding new sections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licensed marijuana producer, marijuana processor, or marijuana retailer, or their employees, when operating in compliance with the provisions of RCW 69.50.325 through 69.50.401, and the administrative rules adopted thereunder, may use the services of a common carrier who is subject to the provisions of chapter 81.29 RCW to physically transport or deliver marijuana, useable marijuana, marijuana concentrates, and marijuana-infused products to another licensee, if the carrier is a licensed transporter as authorized by the liquor control board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liquor control board must adopt rules providing for an annual licensing procedure of a common carrier who seeks to transport or deliver marijuana, useable marijuana, marijuana concentrates, and marijuana-infused products to another licensee.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liquor control board may adopt rules establishing the maximum amounts of marijuana, useable marijuana, marijuana concentrates, and marijuana-infused products that may be physically transported or delivered at one time by a common carrier as provided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rPr>
          <w:u w:val="single"/>
        </w:rPr>
        <w:t xml:space="preserve">(a)</w:t>
      </w:r>
      <w:r>
        <w:rPr/>
        <w:t xml:space="preserve"> The possession, by a person twenty-one years of age or older, of useable marijuana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u w:val="single"/>
        </w:rPr>
        <w:t xml:space="preserve">(b) The possession of marijuana, useable marijuana, marijuana concentrates, and marijuana-infused products being physically transported or delivered to another licensee, in amounts not exceeding those that may be established under section 2(3) of this act, by an employee of a common carrier when performing the duties authorized under section 1 of this act,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2003 c 53 s 335 are each amended to read as follows:</w:t>
      </w:r>
    </w:p>
    <w:p>
      <w:pPr>
        <w:spacing w:before="0" w:after="0" w:line="408" w:lineRule="exact"/>
        <w:ind w:left="0" w:right="0" w:firstLine="576"/>
        <w:jc w:val="left"/>
      </w:pPr>
      <w:r>
        <w:rPr/>
        <w:t xml:space="preserve">Except as provided in RCW 69.50.401(2)(c) </w:t>
      </w:r>
      <w:r>
        <w:rPr>
          <w:u w:val="single"/>
        </w:rPr>
        <w:t xml:space="preserve">or as otherwise authorized by this chapter</w:t>
      </w:r>
      <w:r>
        <w:rPr/>
        <w:t xml:space="preserve">, any person found guilty of possession of forty grams or less of </w:t>
      </w:r>
      <w:r>
        <w:t>((</w:t>
      </w:r>
      <w:r>
        <w:rPr>
          <w:strike/>
        </w:rPr>
        <w:t xml:space="preserve">marihuana</w:t>
      </w:r>
      <w:r>
        <w:t>))</w:t>
      </w:r>
      <w:r>
        <w:rPr>
          <w:u w:val="single"/>
        </w:rPr>
        <w:t xml:space="preserve">marijuana</w:t>
      </w:r>
      <w:r>
        <w:rPr/>
        <w:t xml:space="preserve"> is guilty of a misdemeanor.</w:t>
      </w:r>
    </w:p>
    <w:p/>
    <w:p>
      <w:pPr>
        <w:jc w:val="center"/>
      </w:pPr>
      <w:r>
        <w:rPr>
          <w:b/>
        </w:rPr>
        <w:t>--- END ---</w:t>
      </w:r>
    </w:p>
    <w:sectPr>
      <w:pgNumType w:start="1"/>
      <w:footerReference xmlns:r="http://schemas.openxmlformats.org/officeDocument/2006/relationships" r:id="Rec000a214a5541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87b95eeeb945af" /><Relationship Type="http://schemas.openxmlformats.org/officeDocument/2006/relationships/footer" Target="/word/footer.xml" Id="Rec000a214a554149" /></Relationships>
</file>