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cecd2025d4756" /></Relationships>
</file>

<file path=word/document.xml><?xml version="1.0" encoding="utf-8"?>
<w:document xmlns:w="http://schemas.openxmlformats.org/wordprocessingml/2006/main">
  <w:body>
    <w:p>
      <w:r>
        <w:t>S-1033.4</w:t>
      </w:r>
    </w:p>
    <w:p>
      <w:pPr>
        <w:jc w:val="center"/>
      </w:pPr>
      <w:r>
        <w:t>_______________________________________________</w:t>
      </w:r>
    </w:p>
    <w:p/>
    <w:p>
      <w:pPr>
        <w:jc w:val="center"/>
      </w:pPr>
      <w:r>
        <w:rPr>
          <w:b/>
        </w:rPr>
        <w:t>SUBSTITUTE SENATE BILL 5056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and Chase)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chemical action plans; amending RCW 70.240.010 and 70.240.050; adding new sections to chapter 70.240 RCW; adding a new section to chapter 90.48 RCW; adding a new section to chapter 43.21A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TDCPP (tris(1,3-dichloro-2-propyl)phosphate), chemical abstracts service number 13674-87-8, as of the effective date of this section, TCEP (tris(2-chloroethyl)phosphate), chemical abstracts service number 115-96-8, as of the effective date of this section, decabromodiphenyl ether, chemical abstracts service number 1163-19-5, as of the effective date of this section, hexabromocyclododecane, chemical abstracts service number 25637-99-4, as of the effective date of this section, or the additive form of TBBPA, chemical abstracts service number 79-94-7, as of the effective date of this section, in amounts greater than one thousand parts per million in any product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w:t>
      </w:r>
      <w:r>
        <w:rPr>
          <w:u w:val="single"/>
        </w:rPr>
        <w:t xml:space="preserve">and children's</w:t>
      </w:r>
      <w:r>
        <w:rPr/>
        <w:t xml:space="preserve">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After January 1, 2015, the department must complete and publish a chemical action plan as provided in section 6 of this act for any flame retardant identified as a chemical of high concern for children within two years of the adoption of the rule that identifies the flame retardant as a chemical of high concern for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must select substances, as identified by the United States environmental protection agency in section 304(a)(1) of the clean water act (water quality criteria for human health), that impact Washington state water bodies as identified under section 303(d) of the clean water act, for development of a chemical action plan as specified under section 6 of this act.</w:t>
      </w:r>
    </w:p>
    <w:p>
      <w:pPr>
        <w:spacing w:before="0" w:after="0" w:line="408" w:lineRule="exact"/>
        <w:ind w:left="0" w:right="0" w:firstLine="576"/>
        <w:jc w:val="left"/>
      </w:pPr>
      <w:r>
        <w:rPr/>
        <w:t xml:space="preserve">(2) Beginning January 1, 2016, and every two years thereafter, the department, in consultation with the department of health, must complete and publish a chemical action plan for two substances as selected under subsection (1) of this section to identify, characterize, and evaluate uses and releases of the substances in Washington, the levels of the substances present in the environment, and the levels of the substances present in Washington water bodies as identified under section 303(d) of the clean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When developing chemical action plans, the department must include the following types of information, evaluations, and recommendations:</w:t>
      </w:r>
    </w:p>
    <w:p>
      <w:pPr>
        <w:spacing w:before="0" w:after="0" w:line="408" w:lineRule="exact"/>
        <w:ind w:left="0" w:right="0" w:firstLine="576"/>
        <w:jc w:val="left"/>
      </w:pPr>
      <w:r>
        <w:rPr/>
        <w:t xml:space="preserve">(a) The name of the substance, its properties, uses, and manufacturers;</w:t>
      </w:r>
    </w:p>
    <w:p>
      <w:pPr>
        <w:spacing w:before="0" w:after="0" w:line="408" w:lineRule="exact"/>
        <w:ind w:left="0" w:right="0" w:firstLine="576"/>
        <w:jc w:val="left"/>
      </w:pPr>
      <w:r>
        <w:rPr/>
        <w:t xml:space="preserve">(b) An analysis of available information on the production, inadvertent production, uses, and disposal of the substance;</w:t>
      </w:r>
    </w:p>
    <w:p>
      <w:pPr>
        <w:spacing w:before="0" w:after="0" w:line="408" w:lineRule="exact"/>
        <w:ind w:left="0" w:right="0" w:firstLine="576"/>
        <w:jc w:val="left"/>
      </w:pPr>
      <w:r>
        <w:rPr/>
        <w:t xml:space="preserve">(c) Information on the potential impacts and risks to human health and the environment associated with the use and release of the substance;</w:t>
      </w:r>
    </w:p>
    <w:p>
      <w:pPr>
        <w:spacing w:before="0" w:after="0" w:line="408" w:lineRule="exact"/>
        <w:ind w:left="0" w:right="0" w:firstLine="576"/>
        <w:jc w:val="left"/>
      </w:pPr>
      <w:r>
        <w:rPr/>
        <w:t xml:space="preserve">(d) An evaluation of the regulatory and nonregulatory approaches that influence production, presence, uses, releases, and management of the substance;</w:t>
      </w:r>
    </w:p>
    <w:p>
      <w:pPr>
        <w:spacing w:before="0" w:after="0" w:line="408" w:lineRule="exact"/>
        <w:ind w:left="0" w:right="0" w:firstLine="576"/>
        <w:jc w:val="left"/>
      </w:pPr>
      <w:r>
        <w:rPr/>
        <w:t xml:space="preserve">(e) Recommendations for:</w:t>
      </w:r>
    </w:p>
    <w:p>
      <w:pPr>
        <w:spacing w:before="0" w:after="0" w:line="408" w:lineRule="exact"/>
        <w:ind w:left="0" w:right="0" w:firstLine="576"/>
        <w:jc w:val="left"/>
      </w:pPr>
      <w:r>
        <w:rPr/>
        <w:t xml:space="preserve">(i) Managing, reducing, and phasing out the different uses and releases of the substance;</w:t>
      </w:r>
    </w:p>
    <w:p>
      <w:pPr>
        <w:spacing w:before="0" w:after="0" w:line="408" w:lineRule="exact"/>
        <w:ind w:left="0" w:right="0" w:firstLine="576"/>
        <w:jc w:val="left"/>
      </w:pPr>
      <w:r>
        <w:rPr/>
        <w:t xml:space="preserve">(ii) Minimizing exposure to the substance;</w:t>
      </w:r>
    </w:p>
    <w:p>
      <w:pPr>
        <w:spacing w:before="0" w:after="0" w:line="408" w:lineRule="exact"/>
        <w:ind w:left="0" w:right="0" w:firstLine="576"/>
        <w:jc w:val="left"/>
      </w:pPr>
      <w:r>
        <w:rPr/>
        <w:t xml:space="preserve">(iii) Reducing risk of harm to human health and the environment; and</w:t>
      </w:r>
    </w:p>
    <w:p>
      <w:pPr>
        <w:spacing w:before="0" w:after="0" w:line="408" w:lineRule="exact"/>
        <w:ind w:left="0" w:right="0" w:firstLine="576"/>
        <w:jc w:val="left"/>
      </w:pPr>
      <w:r>
        <w:rPr/>
        <w:t xml:space="preserve">(iv) The use of alternatives that reduce risk and exposure;</w:t>
      </w:r>
    </w:p>
    <w:p>
      <w:pPr>
        <w:spacing w:before="0" w:after="0" w:line="408" w:lineRule="exact"/>
        <w:ind w:left="0" w:right="0" w:firstLine="576"/>
        <w:jc w:val="left"/>
      </w:pPr>
      <w:r>
        <w:rPr/>
        <w:t xml:space="preserve">(f) Recommendations on an evaluation of the following factors:</w:t>
      </w:r>
    </w:p>
    <w:p>
      <w:pPr>
        <w:spacing w:before="0" w:after="0" w:line="408" w:lineRule="exact"/>
        <w:ind w:left="0" w:right="0" w:firstLine="576"/>
        <w:jc w:val="left"/>
      </w:pPr>
      <w:r>
        <w:rPr/>
        <w:t xml:space="preserve">(i) Environmental and human health risks and benefits;</w:t>
      </w:r>
    </w:p>
    <w:p>
      <w:pPr>
        <w:spacing w:before="0" w:after="0" w:line="408" w:lineRule="exact"/>
        <w:ind w:left="0" w:right="0" w:firstLine="576"/>
        <w:jc w:val="left"/>
      </w:pPr>
      <w:r>
        <w:rPr/>
        <w:t xml:space="preserve">(ii) Economic and social impacts and benefits;</w:t>
      </w:r>
    </w:p>
    <w:p>
      <w:pPr>
        <w:spacing w:before="0" w:after="0" w:line="408" w:lineRule="exact"/>
        <w:ind w:left="0" w:right="0" w:firstLine="576"/>
        <w:jc w:val="left"/>
      </w:pPr>
      <w:r>
        <w:rPr/>
        <w:t xml:space="preserve">(iii) Technical feasibility;</w:t>
      </w:r>
    </w:p>
    <w:p>
      <w:pPr>
        <w:spacing w:before="0" w:after="0" w:line="408" w:lineRule="exact"/>
        <w:ind w:left="0" w:right="0" w:firstLine="576"/>
        <w:jc w:val="left"/>
      </w:pPr>
      <w:r>
        <w:rPr/>
        <w:t xml:space="preserve">(iv) Availability and effectiveness of alternatives that reduce risk and exposure; and</w:t>
      </w:r>
    </w:p>
    <w:p>
      <w:pPr>
        <w:spacing w:before="0" w:after="0" w:line="408" w:lineRule="exact"/>
        <w:ind w:left="0" w:right="0" w:firstLine="576"/>
        <w:jc w:val="left"/>
      </w:pPr>
      <w:r>
        <w:rPr/>
        <w:t xml:space="preserve">(v) Consistency with existing federal and state regulatory requirements and information about restrictions or prohibitions by other states or nations.</w:t>
      </w:r>
    </w:p>
    <w:p>
      <w:pPr>
        <w:spacing w:before="0" w:after="0" w:line="408" w:lineRule="exact"/>
        <w:ind w:left="0" w:right="0" w:firstLine="576"/>
        <w:jc w:val="left"/>
      </w:pPr>
      <w:r>
        <w:rPr/>
        <w:t xml:space="preserve">(2) The department must create an external advisory committee for each chemical action plan developed to provide stakeholder input, expertise, and additional information. The advisory committee membership must include, but not be limited to, representatives from: The largest statewide business association; large and small business sectors, including retailers and manufacturers; community, environmental, and public health advocacy groups; local governments; affected and interested businesses; and public health agencies. The department must consult with the advisory committee on the development of a chemical action plan and may request state agencies and technical experts to participate. All advisory committee meetings must be open to the public.</w:t>
      </w:r>
    </w:p>
    <w:p>
      <w:pPr>
        <w:spacing w:before="0" w:after="0" w:line="408" w:lineRule="exact"/>
        <w:ind w:left="0" w:right="0" w:firstLine="576"/>
        <w:jc w:val="left"/>
      </w:pPr>
      <w:r>
        <w:rPr/>
        <w:t xml:space="preserve">(3) The department must provide recommendations to the legislature on policy options regarding: Reducing exposure; designating and developing alternative substances or processes that reduce risk and exposure; and restricting or prohibiting the use of substances for which chemical action plans have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do not apply to substances regulated under chapter 15.54 or 15.58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biennium ending June 30, 2017, from the model toxics control account to the department of ecology for the purposes of this act.</w:t>
      </w:r>
    </w:p>
    <w:p/>
    <w:p>
      <w:pPr>
        <w:jc w:val="center"/>
      </w:pPr>
      <w:r>
        <w:rPr>
          <w:b/>
        </w:rPr>
        <w:t>--- END ---</w:t>
      </w:r>
    </w:p>
    <w:sectPr>
      <w:pgNumType w:start="1"/>
      <w:footerReference xmlns:r="http://schemas.openxmlformats.org/officeDocument/2006/relationships" r:id="Rc8e27f39f81b41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54e1b90ad4940" /><Relationship Type="http://schemas.openxmlformats.org/officeDocument/2006/relationships/footer" Target="/word/footer.xml" Id="Rc8e27f39f81b4184" /></Relationships>
</file>