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746d433394142" /></Relationships>
</file>

<file path=word/document.xml><?xml version="1.0" encoding="utf-8"?>
<w:document xmlns:w="http://schemas.openxmlformats.org/wordprocessingml/2006/main">
  <w:body>
    <w:p>
      <w:r>
        <w:t>S-0450.2</w:t>
      </w:r>
    </w:p>
    <w:p>
      <w:pPr>
        <w:jc w:val="center"/>
      </w:pPr>
      <w:r>
        <w:t>_______________________________________________</w:t>
      </w:r>
    </w:p>
    <w:p/>
    <w:p>
      <w:pPr>
        <w:jc w:val="center"/>
      </w:pPr>
      <w:r>
        <w:rPr>
          <w:b/>
        </w:rPr>
        <w:t>SENATE BILL 5099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O'Ban, Conway, Dammeier, Roach, Miloscia, and Becker</w:t>
      </w:r>
    </w:p>
    <w:p/>
    <w:p>
      <w:r>
        <w:rPr>
          <w:t xml:space="preserve">Read first time 01/14/15.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conditional releases of sexually violent predators outside their county of origin;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2009 c 409 s 10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w:t>
      </w:r>
      <w:r>
        <w:rPr>
          <w:u w:val="single"/>
        </w:rPr>
        <w:t xml:space="preserve">(a) Prior to authorizing release to a less restrictive alternative, the court shall consider whether it is appropriate to release the person to the person's county of origin.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origin, unless the court determines that the person's return to his or her county of origin would be inappropriate considering any court-issued protection orders, victim safety concerns, the availability of appropriate treatment or facilities that would adequately protect the community, negative influences on the person, or the location of family or other persons or organizations offering support to the person. When the department or court assists in developing a placement under this section which is outside of the county of origin, and there are two or more options for placement, it shall endeavor to develop the placement in a manner that does not have a disproportionate effect on a single county.</w:t>
      </w:r>
    </w:p>
    <w:p>
      <w:pPr>
        <w:spacing w:before="0" w:after="0" w:line="408" w:lineRule="exact"/>
        <w:ind w:left="0" w:right="0" w:firstLine="576"/>
        <w:jc w:val="left"/>
      </w:pPr>
      <w:r>
        <w:rPr>
          <w:u w:val="single"/>
        </w:rPr>
        <w:t xml:space="preserve">(b) If the committed person is not conditionally released to his or her county of origin, the department shall provide the law and justice council of the county in which the person is conditionally released with notice and a written explanation.</w:t>
      </w:r>
    </w:p>
    <w:p>
      <w:pPr>
        <w:spacing w:before="0" w:after="0" w:line="408" w:lineRule="exact"/>
        <w:ind w:left="0" w:right="0" w:firstLine="576"/>
        <w:jc w:val="left"/>
      </w:pPr>
      <w:r>
        <w:rPr>
          <w:u w:val="single"/>
        </w:rPr>
        <w:t xml:space="preserve">(c) For purposes of this section, the person's county of origin means the county of the court which ordered the person's commitment.</w:t>
      </w:r>
    </w:p>
    <w:p>
      <w:pPr>
        <w:spacing w:before="0" w:after="0" w:line="408" w:lineRule="exact"/>
        <w:ind w:left="0" w:right="0" w:firstLine="576"/>
        <w:jc w:val="left"/>
      </w:pPr>
      <w:r>
        <w:rPr>
          <w:u w:val="single"/>
        </w:rPr>
        <w:t xml:space="preserve">(d) This subsection (5) does not apply to releases to a secure community transition facility under RCW 71.09.250.</w:t>
      </w:r>
    </w:p>
    <w:p>
      <w:pPr>
        <w:spacing w:before="0" w:after="0" w:line="408" w:lineRule="exact"/>
        <w:ind w:left="0" w:right="0" w:firstLine="576"/>
        <w:jc w:val="left"/>
      </w:pPr>
      <w:r>
        <w:rPr>
          <w:u w:val="single"/>
        </w:rPr>
        <w:t xml:space="preserve">(6)</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(6)</w:t>
      </w:r>
      <w:r>
        <w:t>))</w:t>
      </w:r>
      <w:r>
        <w:rPr>
          <w:u w:val="single"/>
        </w:rPr>
        <w:t xml:space="preserve">(7)</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w:t>
      </w:r>
      <w:r>
        <w:t>((</w:t>
      </w:r>
      <w:r>
        <w:rPr>
          <w:strike/>
        </w:rPr>
        <w:t xml:space="preserve">(5)</w:t>
      </w:r>
      <w:r>
        <w:t>))</w:t>
      </w:r>
      <w:r>
        <w:rPr>
          <w:u w:val="single"/>
        </w:rPr>
        <w:t xml:space="preserve">(6)</w:t>
      </w:r>
      <w:r>
        <w:rPr/>
        <w:t xml:space="preserve"> of this section and the opinions of the secretary and other experts or professional persons.</w:t>
      </w:r>
    </w:p>
    <w:p/>
    <w:p>
      <w:pPr>
        <w:jc w:val="center"/>
      </w:pPr>
      <w:r>
        <w:rPr>
          <w:b/>
        </w:rPr>
        <w:t>--- END ---</w:t>
      </w:r>
    </w:p>
    <w:sectPr>
      <w:pgNumType w:start="1"/>
      <w:footerReference xmlns:r="http://schemas.openxmlformats.org/officeDocument/2006/relationships" r:id="R1eb5e25566c547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af55ec20744f70" /><Relationship Type="http://schemas.openxmlformats.org/officeDocument/2006/relationships/footer" Target="/word/footer.xml" Id="R1eb5e25566c54786" /></Relationships>
</file>