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f9e950362f43a9" /></Relationships>
</file>

<file path=word/document.xml><?xml version="1.0" encoding="utf-8"?>
<w:document xmlns:w="http://schemas.openxmlformats.org/wordprocessingml/2006/main">
  <w:body>
    <w:p>
      <w:r>
        <w:t>S-0127.3</w:t>
      </w:r>
    </w:p>
    <w:p>
      <w:pPr>
        <w:jc w:val="center"/>
      </w:pPr>
      <w:r>
        <w:t>_______________________________________________</w:t>
      </w:r>
    </w:p>
    <w:p/>
    <w:p>
      <w:pPr>
        <w:jc w:val="center"/>
      </w:pPr>
      <w:r>
        <w:rPr>
          <w:b/>
        </w:rPr>
        <w:t>SENATE BILL 5142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Bailey, Rivers, Brown, and Keiser</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health benefit exchange provisions related to the aggregation or delegating the aggregation of funds that comprise the premium for a health plan; amending RCW 43.71.030;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spacing w:before="0" w:after="0" w:line="408" w:lineRule="exact"/>
        <w:ind w:left="0" w:right="0" w:firstLine="576"/>
        <w:jc w:val="left"/>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w:t>
      </w:r>
      <w:r>
        <w:rPr>
          <w:u w:val="single"/>
        </w:rPr>
        <w:t xml:space="preserve">and</w:t>
      </w:r>
      <w:r>
        <w:rPr/>
        <w:t xml:space="preserve"> (f) </w:t>
      </w:r>
      <w:r>
        <w:t>((</w:t>
      </w:r>
      <w:r>
        <w:rPr>
          <w:strike/>
        </w:rPr>
        <w:t xml:space="preserve">aggregate or delegate the aggregation of funds that comprise the premium for a health plan; and (g)</w:t>
      </w:r>
      <w:r>
        <w:t>))</w:t>
      </w:r>
      <w:r>
        <w:rPr/>
        <w:t xml:space="preserve"> complete other duties necessary to begin open enrollment in qualified health plans through the exchange beginning October 1, 2013.</w:t>
      </w:r>
    </w:p>
    <w:p>
      <w:pPr>
        <w:spacing w:before="0" w:after="0" w:line="408" w:lineRule="exact"/>
        <w:ind w:left="0" w:right="0" w:firstLine="576"/>
        <w:jc w:val="left"/>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t xml:space="preserve">(3) The board shall establish policies that permit city and county governments, Indian tribes, tribal organizations, urban Indian organizations, private foundations, and other entities to pay premiums on behalf of qualified individuals.</w:t>
      </w:r>
    </w:p>
    <w:p>
      <w:pPr>
        <w:spacing w:before="0" w:after="0" w:line="408" w:lineRule="exact"/>
        <w:ind w:left="0" w:right="0" w:firstLine="576"/>
        <w:jc w:val="left"/>
      </w:pPr>
      <w:r>
        <w:rPr/>
        <w:t xml:space="preserve">(4)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rPr/>
        <w:t xml:space="preserve">(6) The exchange shall report its activities and status to the governor and the legislature as requested, and no less often than annually.</w:t>
      </w:r>
    </w:p>
    <w:p>
      <w:pPr>
        <w:spacing w:before="0" w:after="0" w:line="408" w:lineRule="exact"/>
        <w:ind w:left="0" w:right="0" w:firstLine="576"/>
        <w:jc w:val="left"/>
      </w:pPr>
      <w:r>
        <w:rPr>
          <w:u w:val="single"/>
        </w:rPr>
        <w:t xml:space="preserve">(7) The exchange shall not aggregate or delegate the aggregation of funds that comprise the premium for an individual qualified health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health benefit exchange provisions beginning with the 2016 open enrollment period.</w:t>
      </w:r>
    </w:p>
    <w:p/>
    <w:p>
      <w:pPr>
        <w:jc w:val="center"/>
      </w:pPr>
      <w:r>
        <w:rPr>
          <w:b/>
        </w:rPr>
        <w:t>--- END ---</w:t>
      </w:r>
    </w:p>
    <w:sectPr>
      <w:pgNumType w:start="1"/>
      <w:footerReference xmlns:r="http://schemas.openxmlformats.org/officeDocument/2006/relationships" r:id="R027eafd823cd48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6cabea00147d6" /><Relationship Type="http://schemas.openxmlformats.org/officeDocument/2006/relationships/footer" Target="/word/footer.xml" Id="R027eafd823cd480e" /></Relationships>
</file>