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0ec94a66740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SENATE BILL 5177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and Darneille;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forensic mental health services; amending RCW 10.77.084, 10.77.086, 10.77.088, 10.77.073, 10.77.220, 71.05.235, and 10.77.065; reenacting and amending RCW 10.77.065; adding new sections to chapter 10.77 RCW; creating new sections;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0" w:after="0" w:line="408" w:lineRule="exact"/>
        <w:ind w:left="0" w:right="0" w:firstLine="576"/>
        <w:jc w:val="left"/>
      </w:pPr>
      <w:r>
        <w:rPr/>
        <w:t xml:space="preserve">(2) The department of social and health services shall work with counties and the court to develop a screening process to determine which individuals are safe to receive competency restoration treatment outside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twenty-four hours of the signing of a court order requesting the secretary to provide a competency evaluation or competency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state hospital. If the order is for competency restoration treatment and the competency evaluation was provided by a qualified expert or professional person who was not designated by the secretary, the clerk shall also provide the state hospital with a copy of all previous court orders related to competency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state hospital; and</w:t>
      </w:r>
    </w:p>
    <w:p>
      <w:pPr>
        <w:spacing w:before="0" w:after="0" w:line="408" w:lineRule="exact"/>
        <w:ind w:left="0" w:right="0" w:firstLine="576"/>
        <w:jc w:val="left"/>
      </w:pPr>
      <w:r>
        <w:rPr/>
        <w:t xml:space="preserve">(3) If the court order requires transportation of the defendant to a state hospital, the jail administrator shall provide the defendant's medical clearance information to the state hospital admission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A city or county jail shall transport a defendant to a state hospital or other secure facility designated by the department within one day of receipt of an offer of admission of the defendant for competency evaluation or restoration services.</w:t>
      </w:r>
    </w:p>
    <w:p>
      <w:pPr>
        <w:spacing w:before="0" w:after="0" w:line="408" w:lineRule="exact"/>
        <w:ind w:left="0" w:right="0" w:firstLine="576"/>
        <w:jc w:val="left"/>
      </w:pPr>
      <w:r>
        <w:rPr/>
        <w:t xml:space="preserve">(2) City and county jails must cooperate with competency evaluators and the department to arrange for competency evaluators to have reasonable, timely, and appropriate access to defendants for the purpose of performing evaluations under this chapter to accommodate the seven-day performance target for completing competency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w:t>
      </w:r>
      <w:r>
        <w:rPr>
          <w:u w:val="single"/>
        </w:rPr>
        <w:t xml:space="preserve">The court may order a defendant who has been found to be incompetent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defendant shall be returned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spacing w:before="0" w:after="0" w:line="408" w:lineRule="exact"/>
        <w:ind w:left="0" w:right="0" w:firstLine="576"/>
        <w:jc w:val="left"/>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spacing w:before="0" w:after="0" w:line="408" w:lineRule="exact"/>
        <w:ind w:left="0" w:right="0" w:firstLine="576"/>
        <w:jc w:val="left"/>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w:t>
      </w:r>
      <w:r>
        <w:rPr>
          <w:u w:val="single"/>
        </w:rPr>
        <w:t xml:space="preserve">or provider</w:t>
      </w:r>
      <w:r>
        <w:rPr/>
        <w:t xml:space="preserve"> as determined by the department, or under the guidance and control of a professional person. </w:t>
      </w:r>
      <w:r>
        <w:rPr>
          <w:u w:val="single"/>
        </w:rPr>
        <w:t xml:space="preserve">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spacing w:before="0" w:after="0" w:line="408" w:lineRule="exact"/>
        <w:ind w:left="0" w:right="0" w:firstLine="576"/>
        <w:jc w:val="left"/>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w:t>
      </w:r>
      <w:r>
        <w:t>((</w:t>
      </w:r>
      <w:r>
        <w:rPr>
          <w:strike/>
        </w:rPr>
        <w:t xml:space="preserve">,</w:t>
      </w:r>
      <w:r>
        <w:t>))</w:t>
      </w:r>
      <w:r>
        <w:rPr/>
        <w:t xml:space="preserve"> in the case of a defendant with a developmental disability, if the jury or court finds that the defendant is incompetent, </w:t>
      </w:r>
      <w:r>
        <w:rPr>
          <w:u w:val="single"/>
        </w:rPr>
        <w:t xml:space="preserve">or if the court or jury at any stage finds that the defendant is incompetent and the court determines that the defendant is unlikely to regain competency,</w:t>
      </w:r>
      <w:r>
        <w:rPr/>
        <w:t xml:space="preserve">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 May order a</w:t>
      </w:r>
      <w:r>
        <w:rPr/>
        <w:t xml:space="preserve">ny combination of this subsection.</w:t>
      </w:r>
    </w:p>
    <w:p>
      <w:pPr>
        <w:spacing w:before="0" w:after="0" w:line="408" w:lineRule="exact"/>
        <w:ind w:left="0" w:right="0" w:firstLine="576"/>
        <w:jc w:val="left"/>
      </w:pPr>
      <w:r>
        <w:rPr/>
        <w:t xml:space="preserve">(b) </w:t>
      </w:r>
      <w:r>
        <w:rPr>
          <w:u w:val="single"/>
        </w:rPr>
        <w:t xml:space="preserve">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a county for the cost of appointing a qualified expert or professional person under RCW 10.77.060(1)(a) subject to subsections (2) through (4) of this section i</w:t>
      </w:r>
      <w:r>
        <w:rPr/>
        <w:t xml:space="preserve">f, at the time of a referral for an evaluation of competency to stand trial in a jail for an in-custody defendant, the department </w:t>
      </w:r>
      <w:r>
        <w:t>((</w:t>
      </w:r>
      <w:r>
        <w:rPr>
          <w:strike/>
        </w:rPr>
        <w:t xml:space="preserve">has not met</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 not 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w:t>
      </w:r>
      <w:r>
        <w:t>((</w:t>
      </w:r>
      <w:r>
        <w:rPr>
          <w:strike/>
        </w:rPr>
        <w:t xml:space="preserve">maintain data on the timeliness of competency evaluations completed under this section</w:t>
      </w:r>
      <w:r>
        <w:t>))</w:t>
      </w:r>
      <w:r>
        <w:rPr>
          <w:u w:val="single"/>
        </w:rPr>
        <w:t xml:space="preserve">:</w:t>
      </w:r>
    </w:p>
    <w:p>
      <w:pPr>
        <w:spacing w:before="0" w:after="0" w:line="408" w:lineRule="exact"/>
        <w:ind w:left="0" w:right="0" w:firstLine="576"/>
        <w:jc w:val="left"/>
      </w:pPr>
      <w:r>
        <w:rPr>
          <w:u w:val="single"/>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u w:val="single"/>
        </w:rPr>
        <w:t xml:space="preserve">(b) Share this data with the department upon the department's request</w:t>
      </w:r>
      <w:r>
        <w:rPr/>
        <w:t xml:space="preserve">.</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spacing w:before="0" w:after="0" w:line="408" w:lineRule="exact"/>
        <w:ind w:left="0" w:right="0" w:firstLine="576"/>
        <w:jc w:val="left"/>
      </w:pPr>
      <w:r>
        <w:rPr/>
        <w:t xml:space="preserve">(a) Operational control of all forensic evaluation services, including specific budget allocation;</w:t>
      </w:r>
    </w:p>
    <w:p>
      <w:pPr>
        <w:spacing w:before="0" w:after="0" w:line="408" w:lineRule="exact"/>
        <w:ind w:left="0" w:right="0" w:firstLine="576"/>
        <w:jc w:val="left"/>
      </w:pPr>
      <w:r>
        <w:rPr/>
        <w:t xml:space="preserve">(b) Responsibility for training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proper flow of information, coordinate logistical issues, and solve problems in complex circumstances;</w:t>
      </w:r>
    </w:p>
    <w:p>
      <w:pPr>
        <w:spacing w:before="0" w:after="0" w:line="408" w:lineRule="exact"/>
        <w:ind w:left="0" w:right="0" w:firstLine="576"/>
        <w:jc w:val="left"/>
      </w:pPr>
      <w:r>
        <w:rPr/>
        <w:t xml:space="preserve">(e) Coordination with state hospitals to identify and develop best practice interventions and curricula for services that are unique to forensic patients;</w:t>
      </w:r>
    </w:p>
    <w:p>
      <w:pPr>
        <w:spacing w:before="0" w:after="0" w:line="408" w:lineRule="exact"/>
        <w:ind w:left="0" w:right="0" w:firstLine="576"/>
        <w:jc w:val="left"/>
      </w:pPr>
      <w:r>
        <w:rPr/>
        <w:t xml:space="preserve">(f) Promotion of congruence across state hospitals where appropriate, and promotion of interventions that flow smoothly into community interventions;</w:t>
      </w:r>
    </w:p>
    <w:p>
      <w:pPr>
        <w:spacing w:before="0" w:after="0" w:line="408" w:lineRule="exact"/>
        <w:ind w:left="0" w:right="0" w:firstLine="576"/>
        <w:jc w:val="left"/>
      </w:pPr>
      <w:r>
        <w:rPr/>
        <w:t xml:space="preserve">(g) Coordination with regional support networks, behavioral health organizations, community mental health agencies, and the department of corrections regarding community treatment and monitoring of persons on conditional release;</w:t>
      </w:r>
    </w:p>
    <w:p>
      <w:pPr>
        <w:spacing w:before="0" w:after="0" w:line="408" w:lineRule="exact"/>
        <w:ind w:left="0" w:right="0" w:firstLine="576"/>
        <w:jc w:val="left"/>
      </w:pPr>
      <w:r>
        <w:rPr/>
        <w:t xml:space="preserve">(h) Oversight of forensic data collection and analysis statewide, and appropriate dissemination of data trends and recommendations;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secretary shall adopt rules as may be necessary to implement chapter . . ., Laws of 2015 1st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2015, the administrative office of the courts shall develop and prepare standard forms for court orders for: (1) Forensic evaluation and competency restoration services under chapter 10.77 RCW; and (2) involuntary civil commitment under chapter 71.05 RCW. In developing the standard court order forms, the administrative office of the courts shall consult with representatives from the superior courts and county clerks, the department of social and health services including the state hospitals, the attorney general's office, prosecuting attorneys, defense attorneys, the Washington state association of counties, disability rights Washington, and tribal and community mental health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established a court video testimony work group, to be composed of representatives from the administrative office of the courts, the superior courts, the department of social and health services including the state hospitals, prosecuting attorneys, defense attorneys, the Washington state association of counties, the attorney general's office, and disability rights Washington. The purpose of the work group is to consider and facilitate the use of video testimony by state competency evaluators and other representatives of the department of social and health services and the state hospitals in court matters under chapter 10.77 RCW. The work group must consider the applicability of local rules and the confrontation rights of the defendant. The administrative office of the courts is requested to convene and provide staffing to the work group. The work group must complete its work by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6 and 8 through 15 of this act are necessary for the immediate preservation of the public peace, health, or safety, or support of the state government and its existing public institutions, and take effect July 1, 2015.</w:t>
      </w:r>
    </w:p>
    <w:p>
      <w:pPr>
        <w:spacing w:before="0" w:after="0" w:line="408" w:lineRule="exact"/>
        <w:ind w:left="0" w:right="0" w:firstLine="576"/>
        <w:jc w:val="left"/>
      </w:pPr>
      <w:r>
        <w:rPr/>
        <w:t xml:space="preserve">(3) Section 16 of this act takes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253, Laws of 2015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31cbc5996b1840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46c7cf8d1466d" /><Relationship Type="http://schemas.openxmlformats.org/officeDocument/2006/relationships/footer" Target="/word/footer.xml" Id="R31cbc5996b18404e" /></Relationships>
</file>