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c15544c864960" /></Relationships>
</file>

<file path=word/document.xml><?xml version="1.0" encoding="utf-8"?>
<w:document xmlns:w="http://schemas.openxmlformats.org/wordprocessingml/2006/main">
  <w:body>
    <w:p>
      <w:r>
        <w:t>Z-0378.2</w:t>
      </w:r>
    </w:p>
    <w:p>
      <w:pPr>
        <w:jc w:val="center"/>
      </w:pPr>
      <w:r>
        <w:t>_______________________________________________</w:t>
      </w:r>
    </w:p>
    <w:p/>
    <w:p>
      <w:pPr>
        <w:jc w:val="center"/>
      </w:pPr>
      <w:r>
        <w:rPr>
          <w:b/>
        </w:rPr>
        <w:t>SENATE BILL 5263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Benton, Mullet, Fraser, Roach, Hobbs, Rivers, and Fain; by request of Uniform Law Commission</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amending RCW 6.13.080; adding a new section to chapter 59.18 RCW; adding a new section to chapter 64.32 RCW; adding a new section to chapter 64.34 RCW; adding a new section to chapter 64.38 RCW; adding a new chapter to Title 64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 A common interest community with the attributes described in this section is a condominium unless designated otherwise as provided in section 206(1)(a) of this act.</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 A common interest community with the attributes described in this subsection is a cooperative unless designated otherwise as provided in section 206(1)(a) of this act.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termination agreements executed pursuant to section 218(2)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58.19,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this chapter applies to a common interest community created in this state before the effective date of this section unless, before the effective date of this section, unit owners holding a majority of the votes in the common interest community voted to amend its governing documents to elect that chapters 59.18, 64.32, 64.34, or 64.38 RCW, as applicable, will continue to apply to the common interest community and that this chapter will not apply, except as provided in subsection (2) of this section.</w:t>
      </w:r>
    </w:p>
    <w:p>
      <w:pPr>
        <w:spacing w:before="0" w:after="0" w:line="408" w:lineRule="exact"/>
        <w:ind w:left="0" w:right="0" w:firstLine="576"/>
        <w:jc w:val="left"/>
      </w:pPr>
      <w:r>
        <w:rPr/>
        <w:t xml:space="preserve">(2) The following sections and amendments to these sections apply, and any inconsistent provisions of chapter 59.18, 64.32, 64.34, or 64.38 RCW do not apply, to a common interest community that elected out of applicability of this chapter pursuant to subsection (1) of this section: Sections 102, 104, 105, 106, 120, 203, 204, 205, 218 (2), (9), (10), (11), (12), and (13), 219, 223, 226, 302(2) (a) through (f) and (k) through (u), 303(1) (a) and (b), 312 (1), (2), (3)(a) and (b), (5), (6), (7), (8), and (9), 313, 317, 318, 320, 326, 328 through 333, 409, and 418 of this act.</w:t>
      </w:r>
    </w:p>
    <w:p>
      <w:pPr>
        <w:spacing w:before="0" w:after="0" w:line="408" w:lineRule="exact"/>
        <w:ind w:left="0" w:right="0" w:firstLine="576"/>
        <w:jc w:val="left"/>
      </w:pPr>
      <w:r>
        <w:rPr/>
        <w:t xml:space="preserve">(3) Except to the extent provided in this subsection, the sections listed in subsection (2) of this section apply only to events and circumstances occurring after the effective date of this section and do not invalidate existing provisions of the governing documents of those common interest communities. To protect the public interest, sections 120 and 326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(2) have elected out of applicability of this chapter pursuant to section 117(1) of this act, and (3)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AMENDMENTS TO GOVERNING DOCUMENTS.</w:t>
      </w:r>
      <w:r>
        <w:t xml:space="preserve">  </w:t>
      </w:r>
      <w:r>
        <w:rPr/>
        <w:t xml:space="preserve">(1) Except for a common interest community that did not elect out of applicability of this chapter pursuant to section 117(1) of this act, the governing documents of any common interest community created before the effective date of this section may be amended to achieve any result permitted by this chapter, regardless of what applicable law provided before this chapter was adopted.</w:t>
      </w:r>
    </w:p>
    <w:p>
      <w:pPr>
        <w:spacing w:before="0" w:after="0" w:line="408" w:lineRule="exact"/>
        <w:ind w:left="0" w:right="0" w:firstLine="576"/>
        <w:jc w:val="left"/>
      </w:pPr>
      <w:r>
        <w:rPr/>
        <w:t xml:space="preserve">(2) Except as provided otherwise in section 218 (9), (10), (11), (12), or (13) of this act, an amendment to the governing documents authorized under this section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218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w:t>
      </w:r>
      <w:r>
        <w:rPr/>
        <w:t xml:space="preserve">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w:t>
      </w:r>
      <w:r>
        <w:rPr/>
        <w:t xml:space="preserve"> For purposes of this section, "amendment" includes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 (g) and (h)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(6)(a), and (7)(e)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any requirement for approval may not operate to</w:t>
      </w:r>
      <w:r>
        <w:rPr/>
        <w:t xml:space="preserve">:</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The board of the subassociation must be elected after the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(2)(v)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or articles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w:t>
      </w:r>
      <w:r>
        <w:rPr/>
        <w:t xml:space="preserve">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the obligation of this chapter.</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ten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declaration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The association and any unit owner except the declarant is not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is prior to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first security interest on the unit recorded before the date on which the unpaid assessment became due or, in a cooperative, the first priority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is also prior to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 and</w:t>
      </w:r>
    </w:p>
    <w:p>
      <w:pPr>
        <w:spacing w:before="0" w:after="0" w:line="408" w:lineRule="exact"/>
        <w:ind w:left="0" w:right="0" w:firstLine="576"/>
        <w:jc w:val="left"/>
      </w:pPr>
      <w:r>
        <w:rPr/>
        <w:t xml:space="preserve">(ii) The association's actual costs and reasonable attorneys' fees incurred in foreclosing its lien up to the time when any person pays to the association the full amount described in (a)(i) of this subsection, including the association's attorneys' fees and costs.</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unless prohibited by the declaration,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(e) In a foreclosure under chapter 61.24 RCW, the association must give the notice required by statute or, if there is no such requirement, reasonable notice of its action to all lienholders of the unit whose interest would be affected.</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Unless the parties agree otherwise, the association may apply any sums paid by unit owners who are delinquent in paying assessments (a) to the oldest debt on account, or (b) in the following order:</w:t>
      </w:r>
    </w:p>
    <w:p>
      <w:pPr>
        <w:spacing w:before="0" w:after="0" w:line="408" w:lineRule="exact"/>
        <w:ind w:left="0" w:right="0" w:firstLine="576"/>
        <w:jc w:val="left"/>
      </w:pPr>
      <w:r>
        <w:rPr/>
        <w:t xml:space="preserve">(i) Unpaid assessments;</w:t>
      </w:r>
    </w:p>
    <w:p>
      <w:pPr>
        <w:spacing w:before="0" w:after="0" w:line="408" w:lineRule="exact"/>
        <w:ind w:left="0" w:right="0" w:firstLine="576"/>
        <w:jc w:val="left"/>
      </w:pPr>
      <w:r>
        <w:rPr/>
        <w:t xml:space="preserve">(ii) Late charges;</w:t>
      </w:r>
    </w:p>
    <w:p>
      <w:pPr>
        <w:spacing w:before="0" w:after="0" w:line="408" w:lineRule="exact"/>
        <w:ind w:left="0" w:right="0" w:firstLine="576"/>
        <w:jc w:val="left"/>
      </w:pPr>
      <w:r>
        <w:rPr/>
        <w:t xml:space="preserve">(iii) Reasonable attorneys' fees and costs and other reasonable collection charges; and</w:t>
      </w:r>
    </w:p>
    <w:p>
      <w:pPr>
        <w:spacing w:before="0" w:after="0" w:line="408" w:lineRule="exact"/>
        <w:ind w:left="0" w:right="0" w:firstLine="576"/>
        <w:jc w:val="left"/>
      </w:pPr>
      <w:r>
        <w:rPr/>
        <w:t xml:space="preserve">(iv) All other unpaid fees, charges, fines, penalties, interest, and late charges.</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necessary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remove a board member or officer elected by the unit owners without a unit owner vote if (a) the board member or officer is delinquent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w:t>
      </w:r>
      <w:r>
        <w:rPr/>
        <w:t xml:space="preserve">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w:t>
      </w:r>
      <w:r>
        <w:rPr/>
        <w:t xml:space="preserve">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a visual site inspection conducted by the reserve study professional. </w:t>
      </w:r>
      <w:r>
        <w:rPr/>
        <w:t xml:space="preserve">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w:t>
      </w:r>
      <w:r>
        <w:rPr/>
        <w:t xml:space="preserve">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 (2)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415 and 416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a purchaser of a unit with a copy of the public offering statement and all material amendments to the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that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Separate lists and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The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a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The identification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the statement before conveyance of your unit.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legal principles of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made in the public offering statement delivered to you, (2) made in writing signed by the declarant or dealer or the declarant's or dealer's agent identified in the public offering statement, or (3) made in an advertisement or promotional material approved or authorized by the declarant or dealer.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may not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may not cancel a contract upon receipt of an amendment to a public offering statement. This subsection must not be construed to eliminate any right that is otherwise available to the purchaser under generally applicable legal principles of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assigned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assigned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the written inspection report of that building prepared by the appropriate department of the city or county. The report must list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common interest community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includes, but is not limited to,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tenants or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apartment 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w:t>
      </w:r>
      <w:r>
        <w:t xml:space="preserve">  </w:t>
      </w:r>
      <w:r>
        <w:rPr/>
        <w:t xml:space="preserve">(1) Subject to subsections (2) and (3) of this section, express warranties made by any declarant or dealer to a purchaser of a unit, if relied upon by the purchaser in purchasing the unit, are created as follows:</w:t>
      </w:r>
    </w:p>
    <w:p>
      <w:pPr>
        <w:spacing w:before="0" w:after="0" w:line="408" w:lineRule="exact"/>
        <w:ind w:left="0" w:right="0" w:firstLine="576"/>
        <w:jc w:val="left"/>
      </w:pPr>
      <w:r>
        <w:rPr/>
        <w:t xml:space="preserve">(a) Any written statement of fact or written promise that relates to the unit, its use, or rights appurtenant to the unit or its use, improvements to the common interest community that would directly benefit the unit, or the right to use or have the benefit of facilities not located in the common interest community creates an express warranty that the unit and related rights and uses will conform to the statement or promise.</w:t>
      </w:r>
    </w:p>
    <w:p>
      <w:pPr>
        <w:spacing w:before="0" w:after="0" w:line="408" w:lineRule="exact"/>
        <w:ind w:left="0" w:right="0" w:firstLine="576"/>
        <w:jc w:val="left"/>
      </w:pPr>
      <w:r>
        <w:rPr/>
        <w:t xml:space="preserve">(b) Any model, depiction, or written description of the physical characteristics of the common interest community, including plans and specifications of or for improvements, creates an express warranty that the common interest community will conform to the model, depiction, or written description in all material respects.</w:t>
      </w:r>
    </w:p>
    <w:p>
      <w:pPr>
        <w:spacing w:before="0" w:after="0" w:line="408" w:lineRule="exact"/>
        <w:ind w:left="0" w:right="0" w:firstLine="576"/>
        <w:jc w:val="left"/>
      </w:pPr>
      <w:r>
        <w:rPr/>
        <w:t xml:space="preserve">(c) Any written description or depiction of the quantity or extent of the real estate comprising the common interest community, including plats or surveys, creates an express warranty that the common interest community will conform to the description or depiction,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promise, model, depiction, or description unless it is made in: The public offering statement delivered to the purchaser; a record signed by the declarant or dealer, or the declarant's or dealer's agent identified in the public offering statement; or an advertisement or promotional material approved or authorized by the declarant or dealer.</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unit that the unit and the common elements in the common interest community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unit transfers to the purchaser all of a declarant's or dealer's implied warranties of quality.</w:t>
      </w:r>
    </w:p>
    <w:p>
      <w:pPr>
        <w:spacing w:before="0" w:after="0" w:line="408" w:lineRule="exact"/>
        <w:ind w:left="0" w:right="0" w:firstLine="576"/>
        <w:jc w:val="left"/>
      </w:pPr>
      <w:r>
        <w:rPr/>
        <w:t xml:space="preserve">(7)(a) In a judicial proceeding for breach of any of the obligations arising under this section, the plaintiff must show that the alleged breach has adversely affected or will have an adverse effect on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unit that may be occupied for residential use, a general disclaimer of implied warranties of quality under section 415 of this act is not effective, but a declarant and any dealer may disclaim liability in an instrument signed by the purchaser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instrument specifically describes the defects or failures;</w:t>
      </w:r>
    </w:p>
    <w:p>
      <w:pPr>
        <w:spacing w:before="0" w:after="0" w:line="408" w:lineRule="exact"/>
        <w:ind w:left="0" w:right="0" w:firstLine="576"/>
        <w:jc w:val="left"/>
      </w:pPr>
      <w:r>
        <w:rPr/>
        <w:t xml:space="preserve">(c) The instrument includes a brief statement as to the expected effect of the defects or failures;</w:t>
      </w:r>
    </w:p>
    <w:p>
      <w:pPr>
        <w:spacing w:before="0" w:after="0" w:line="408" w:lineRule="exact"/>
        <w:ind w:left="0" w:right="0" w:firstLine="576"/>
        <w:jc w:val="left"/>
      </w:pPr>
      <w:r>
        <w:rPr/>
        <w:t xml:space="preserve">(d) The instrument is bold faced, capitalized, underlined, or otherwise set out from surrounding material so as to be conspicuous; and</w:t>
      </w:r>
    </w:p>
    <w:p>
      <w:pPr>
        <w:spacing w:before="0" w:after="0" w:line="408" w:lineRule="exact"/>
        <w:ind w:left="0" w:right="0" w:firstLine="576"/>
        <w:jc w:val="left"/>
      </w:pPr>
      <w:r>
        <w:rPr/>
        <w:t xml:space="preserve">(e) The instrument is signed by the purchaser.</w:t>
      </w:r>
    </w:p>
    <w:p>
      <w:pPr>
        <w:spacing w:before="0" w:after="0" w:line="408" w:lineRule="exact"/>
        <w:ind w:left="0" w:right="0" w:firstLine="576"/>
        <w:jc w:val="left"/>
      </w:pPr>
      <w:r>
        <w:rPr/>
        <w:t xml:space="preserve">(3) A declarant or dealer may not make an express written warranty of quality to a purchaser of a unit in a condominium that limits the implied warranty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judicial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date the unit was conveyed to the purchaser to whom the warranty is first made;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common interest community; or</w:t>
      </w:r>
    </w:p>
    <w:p>
      <w:pPr>
        <w:spacing w:before="0" w:after="0" w:line="408" w:lineRule="exact"/>
        <w:ind w:left="0" w:right="0" w:firstLine="576"/>
        <w:jc w:val="left"/>
      </w:pPr>
      <w:r>
        <w:rPr/>
        <w:t xml:space="preserve">(iii) The date the first unit in the common interest community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common interest community,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that describes or portrays an improvement that is not in existence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if the map or other graphic representation is contained in the public offering statement or in any promotional material approved or authorized by the declarant.</w:t>
      </w:r>
    </w:p>
    <w:p>
      <w:pPr>
        <w:spacing w:before="0" w:after="0" w:line="408" w:lineRule="exact"/>
        <w:ind w:left="0" w:right="0" w:firstLine="576"/>
        <w:jc w:val="left"/>
      </w:pPr>
      <w:r>
        <w:rPr/>
        <w:t xml:space="preserve">(2) The declarant is subject to liability for the prompt repair and restoration, to a condition compatible with the remainder of the common interest community, of any portion of the common interest community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condominium's or homeowner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 2016.</w:t>
      </w:r>
    </w:p>
    <w:p/>
    <w:p>
      <w:pPr>
        <w:jc w:val="center"/>
      </w:pPr>
      <w:r>
        <w:rPr>
          <w:b/>
        </w:rPr>
        <w:t>--- END ---</w:t>
      </w:r>
    </w:p>
    <w:sectPr>
      <w:pgNumType w:start="1"/>
      <w:footerReference xmlns:r="http://schemas.openxmlformats.org/officeDocument/2006/relationships" r:id="R5171c1959d3c44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4476626494196" /><Relationship Type="http://schemas.openxmlformats.org/officeDocument/2006/relationships/footer" Target="/word/footer.xml" Id="R5171c1959d3c44aa" /></Relationships>
</file>